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4063" w14:textId="680F9400" w:rsidR="00572309" w:rsidRDefault="00347465" w:rsidP="500E43AF">
      <w:pPr>
        <w:pStyle w:val="Heading1"/>
        <w:jc w:val="right"/>
        <w:rPr>
          <w:rFonts w:ascii="BentonSans Black" w:eastAsia="BentonSans Black" w:hAnsi="BentonSans Black" w:cs="BentonSans Black"/>
          <w:b/>
          <w:bCs/>
          <w:color w:val="auto"/>
        </w:rPr>
      </w:pPr>
      <w:r w:rsidRPr="0027129F">
        <w:rPr>
          <w:rFonts w:ascii="Cambria" w:eastAsia="Times New Roman" w:hAnsi="Cambria" w:cs="Calibr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9D2E78" wp14:editId="4960D340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2276475" cy="342900"/>
            <wp:effectExtent l="0" t="0" r="9525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435" w:rsidRPr="500E43AF">
        <w:rPr>
          <w:rFonts w:ascii="BentonSans Black" w:eastAsia="BentonSans Black" w:hAnsi="BentonSans Black" w:cs="BentonSans Black"/>
          <w:b/>
          <w:bCs/>
          <w:color w:val="auto"/>
        </w:rPr>
        <w:t xml:space="preserve">Org </w:t>
      </w:r>
      <w:r w:rsidR="00361577" w:rsidRPr="500E43AF">
        <w:rPr>
          <w:rFonts w:ascii="BentonSans Black" w:eastAsia="BentonSans Black" w:hAnsi="BentonSans Black" w:cs="BentonSans Black"/>
          <w:b/>
          <w:bCs/>
          <w:color w:val="auto"/>
        </w:rPr>
        <w:t>Mapping</w:t>
      </w:r>
      <w:r w:rsidR="00CD6615" w:rsidRPr="500E43AF">
        <w:rPr>
          <w:rFonts w:ascii="BentonSans Black" w:eastAsia="BentonSans Black" w:hAnsi="BentonSans Black" w:cs="BentonSans Black"/>
          <w:b/>
          <w:bCs/>
          <w:color w:val="auto"/>
        </w:rPr>
        <w:t xml:space="preserve"> </w:t>
      </w:r>
      <w:r w:rsidR="00995435" w:rsidRPr="500E43AF">
        <w:rPr>
          <w:rFonts w:ascii="BentonSans Black" w:eastAsia="BentonSans Black" w:hAnsi="BentonSans Black" w:cs="BentonSans Black"/>
          <w:b/>
          <w:bCs/>
          <w:color w:val="auto"/>
        </w:rPr>
        <w:t>IR Data Guide</w:t>
      </w:r>
    </w:p>
    <w:p w14:paraId="27C8FE68" w14:textId="77777777" w:rsidR="00CD6615" w:rsidRDefault="00CD6615" w:rsidP="0099543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</w:p>
    <w:p w14:paraId="4CDE623D" w14:textId="15085C88" w:rsidR="00CD6615" w:rsidRDefault="00CD6615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b/>
          <w:bCs/>
          <w:i/>
          <w:iCs/>
          <w:color w:val="000000"/>
          <w:sz w:val="22"/>
          <w:szCs w:val="22"/>
        </w:rPr>
      </w:pPr>
    </w:p>
    <w:p w14:paraId="1044B9B9" w14:textId="147DDD43" w:rsidR="22689285" w:rsidRDefault="22689285" w:rsidP="500E43AF">
      <w:pPr>
        <w:spacing w:line="276" w:lineRule="auto"/>
        <w:rPr>
          <w:rFonts w:ascii="BentonSans Regular" w:eastAsia="BentonSans Regular" w:hAnsi="BentonSans Regular" w:cs="BentonSans Regular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</w:rPr>
        <w:t>The purpose of this document is to</w:t>
      </w:r>
      <w:r w:rsidRPr="67234D72">
        <w:rPr>
          <w:rFonts w:ascii="BentonSans Regular" w:eastAsia="BentonSans Regular" w:hAnsi="BentonSans Regular" w:cs="BentonSans Regular"/>
          <w:i/>
          <w:iCs/>
          <w:color w:val="000000" w:themeColor="text1"/>
        </w:rPr>
        <w:t xml:space="preserve"> </w:t>
      </w:r>
      <w:r w:rsidR="2EE24D6B" w:rsidRPr="67234D72">
        <w:rPr>
          <w:rFonts w:ascii="BentonSans Regular" w:eastAsia="BentonSans Regular" w:hAnsi="BentonSans Regular" w:cs="BentonSans Regular"/>
        </w:rPr>
        <w:t xml:space="preserve">provide an overview of org mapping as it relates to reporting and analytics provided by IU Institutional Analytics. While originally derived from the </w:t>
      </w:r>
      <w:r w:rsidR="46F9C585" w:rsidRPr="67234D72">
        <w:rPr>
          <w:rFonts w:ascii="BentonSans Regular" w:eastAsia="BentonSans Regular" w:hAnsi="BentonSans Regular" w:cs="BentonSans Regular"/>
        </w:rPr>
        <w:t>university's</w:t>
      </w:r>
      <w:r w:rsidR="2EE24D6B" w:rsidRPr="67234D72">
        <w:rPr>
          <w:rFonts w:ascii="BentonSans Regular" w:eastAsia="BentonSans Regular" w:hAnsi="BentonSans Regular" w:cs="BentonSans Regular"/>
        </w:rPr>
        <w:t xml:space="preserve"> HR and financial systems, the org map does not change departmental budgets. It is simply a critical reporting mechanism which allows data to be reported in a way that is consistent and provides the most opportunity for </w:t>
      </w:r>
      <w:r w:rsidR="6A3BB31F" w:rsidRPr="67234D72">
        <w:rPr>
          <w:rFonts w:ascii="BentonSans Regular" w:eastAsia="BentonSans Regular" w:hAnsi="BentonSans Regular" w:cs="BentonSans Regular"/>
        </w:rPr>
        <w:t>greater flexibility and usability</w:t>
      </w:r>
      <w:r w:rsidR="2EE24D6B" w:rsidRPr="67234D72">
        <w:rPr>
          <w:rFonts w:ascii="BentonSans Regular" w:eastAsia="BentonSans Regular" w:hAnsi="BentonSans Regular" w:cs="BentonSans Regular"/>
        </w:rPr>
        <w:t>.</w:t>
      </w:r>
    </w:p>
    <w:p w14:paraId="37B5A695" w14:textId="0BDBE811" w:rsidR="22689285" w:rsidRDefault="499464C7" w:rsidP="573D8E93">
      <w:pPr>
        <w:spacing w:after="0" w:line="276" w:lineRule="auto"/>
        <w:rPr>
          <w:rFonts w:ascii="BentonSans Regular" w:eastAsia="BentonSans Regular" w:hAnsi="BentonSans Regular" w:cs="BentonSans Regular"/>
        </w:rPr>
      </w:pPr>
      <w:r w:rsidRPr="67234D72">
        <w:rPr>
          <w:rFonts w:ascii="BentonSans Regular" w:eastAsia="BentonSans Regular" w:hAnsi="BentonSans Regular" w:cs="BentonSans Regular"/>
        </w:rPr>
        <w:t xml:space="preserve">An example of the current org hierarchy discussed below can be found </w:t>
      </w:r>
      <w:hyperlink r:id="rId12" w:anchor="/site/prd/views/OrgMapping/StudentMajortoFinancialOrganization?:iid=1">
        <w:r w:rsidRPr="67234D72">
          <w:rPr>
            <w:rStyle w:val="Hyperlink"/>
            <w:rFonts w:ascii="BentonSans Regular" w:eastAsia="BentonSans Regular" w:hAnsi="BentonSans Regular" w:cs="BentonSans Regular"/>
          </w:rPr>
          <w:t>here</w:t>
        </w:r>
      </w:hyperlink>
      <w:r w:rsidRPr="67234D72">
        <w:rPr>
          <w:rFonts w:ascii="BentonSans Regular" w:eastAsia="BentonSans Regular" w:hAnsi="BentonSans Regular" w:cs="BentonSans Regular"/>
        </w:rPr>
        <w:t>.</w:t>
      </w:r>
    </w:p>
    <w:p w14:paraId="43B64B14" w14:textId="1963F84C" w:rsidR="6B4783CA" w:rsidRDefault="6B4783CA" w:rsidP="6B4783CA">
      <w:pPr>
        <w:spacing w:after="0" w:line="276" w:lineRule="auto"/>
        <w:rPr>
          <w:rFonts w:ascii="BentonSans Regular" w:eastAsia="BentonSans Regular" w:hAnsi="BentonSans Regular" w:cs="BentonSans Regular"/>
        </w:rPr>
      </w:pPr>
    </w:p>
    <w:p w14:paraId="0AB8E7AA" w14:textId="61C8C011" w:rsidR="00D22D89" w:rsidRPr="00995435" w:rsidRDefault="009A45CE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i/>
          <w:iCs/>
          <w:color w:val="000000"/>
          <w:sz w:val="28"/>
          <w:szCs w:val="28"/>
        </w:rPr>
      </w:pPr>
      <w:r w:rsidRPr="500E43AF">
        <w:rPr>
          <w:rFonts w:ascii="BentonSans Black" w:eastAsia="BentonSans Black" w:hAnsi="BentonSans Black" w:cs="BentonSans Black"/>
          <w:i/>
          <w:iCs/>
          <w:color w:val="000000" w:themeColor="text1"/>
          <w:sz w:val="28"/>
          <w:szCs w:val="28"/>
        </w:rPr>
        <w:t>What is Org Hierarchy?</w:t>
      </w:r>
    </w:p>
    <w:p w14:paraId="729C2412" w14:textId="77777777" w:rsidR="00D22D89" w:rsidRDefault="00D22D89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2AD753D0" w14:textId="29E163F3" w:rsidR="008809EE" w:rsidRDefault="2B26C8B0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Org hierarchy is derived from the </w:t>
      </w:r>
      <w:hyperlink r:id="rId13">
        <w:r w:rsidRPr="500E43AF">
          <w:rPr>
            <w:rStyle w:val="Hyperlink"/>
            <w:rFonts w:ascii="Calibri" w:hAnsi="Calibri" w:cs="Calibri"/>
            <w:sz w:val="22"/>
            <w:szCs w:val="22"/>
          </w:rPr>
          <w:t>chart of accounts (COA)</w:t>
        </w:r>
      </w:hyperlink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</w:t>
      </w:r>
      <w:r w:rsidR="1C525B6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n Indiana University’s HR and Financial systems, known as HRMS and KFS, respectively</w:t>
      </w:r>
      <w:r w:rsidR="6FDB2D8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The COA is a set of tables that define coding structures for accounts, organizations, responsibility centers (RCs), etc. at </w:t>
      </w:r>
      <w:r w:rsidR="7E06E21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IU, providing a foundation for summarizing and reporting data across the university.</w:t>
      </w:r>
      <w:r w:rsidR="1C525B6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7B50310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This structure forms </w:t>
      </w:r>
      <w:r w:rsidR="1C254D2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 hierarchy</w:t>
      </w:r>
      <w:r w:rsidR="47D7F5E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allowing</w:t>
      </w:r>
      <w:r w:rsidR="7FD90E3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granular units to be rolled up into higher levels of aggregation, </w:t>
      </w:r>
      <w:r w:rsidR="29E47B3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and larger entities to be disaggregated into smaller units.</w:t>
      </w:r>
      <w:r w:rsidR="73730DF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081AD0C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</w:p>
    <w:p w14:paraId="4FA35C64" w14:textId="2623B865" w:rsidR="4C1A8AAF" w:rsidRDefault="4C1A8AAF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1D59B20D" w14:textId="68CF23E1" w:rsidR="009A45CE" w:rsidRPr="00484B32" w:rsidRDefault="2414FA24" w:rsidP="179B222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highest level of the hierarchy represents the university, which then branches out into campus, RC, and </w:t>
      </w:r>
      <w:r w:rsidR="000C221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further 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org/sub-org levels (</w:t>
      </w:r>
      <w:r w:rsidR="1BF09FC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e.g., 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division, department, sub-department). The RC level</w:t>
      </w:r>
      <w:r w:rsidR="5E6C256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6C813218" w:rsidRPr="67234D72">
        <w:rPr>
          <w:rFonts w:ascii="BentonSans Regular" w:eastAsia="BentonSans Regular" w:hAnsi="BentonSans Regular" w:cs="BentonSans Regular"/>
          <w:sz w:val="22"/>
          <w:szCs w:val="22"/>
        </w:rPr>
        <w:t>manage</w:t>
      </w:r>
      <w:r w:rsidR="211A7C92" w:rsidRPr="67234D72">
        <w:rPr>
          <w:rFonts w:ascii="BentonSans Regular" w:eastAsia="BentonSans Regular" w:hAnsi="BentonSans Regular" w:cs="BentonSans Regular"/>
          <w:sz w:val="22"/>
          <w:szCs w:val="22"/>
        </w:rPr>
        <w:t>s</w:t>
      </w:r>
      <w:r w:rsidR="6C813218" w:rsidRPr="67234D72">
        <w:rPr>
          <w:rFonts w:ascii="BentonSans Regular" w:eastAsia="BentonSans Regular" w:hAnsi="BentonSans Regular" w:cs="BentonSans Regular"/>
          <w:sz w:val="22"/>
          <w:szCs w:val="22"/>
        </w:rPr>
        <w:t xml:space="preserve"> both</w:t>
      </w:r>
      <w:r w:rsidR="6C81321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9A6D62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administrative control and ownership of resources. </w:t>
      </w:r>
      <w:r w:rsidR="6923FCA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F</w:t>
      </w:r>
      <w:r w:rsidR="6631038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or </w:t>
      </w:r>
      <w:r w:rsidR="4AF2238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Bloomington and Indianapolis</w:t>
      </w:r>
      <w:r w:rsidR="4E6F7DE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</w:t>
      </w:r>
      <w:r w:rsidR="3326F3C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RCs</w:t>
      </w:r>
      <w:r w:rsidR="4E6F7DE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are generally equivalent to </w:t>
      </w:r>
      <w:r w:rsidR="294FD61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</w:t>
      </w:r>
      <w:r w:rsidR="4E6F7DE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cademic </w:t>
      </w:r>
      <w:r w:rsidR="02AEBC7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="4E6F7DE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chool</w:t>
      </w:r>
      <w:r w:rsidR="7202BC1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s, like the School of Education or the School of Public Health.</w:t>
      </w:r>
      <w:r w:rsidR="4E6F7DE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50629B59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Responsibility centers at the regional campuses tend to be administrative </w:t>
      </w:r>
      <w:r w:rsidR="54D4746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units that have oversight over one or more schools</w:t>
      </w:r>
      <w:r w:rsidR="648E7D6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401586B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(</w:t>
      </w:r>
      <w:r w:rsidR="4B1B0AE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see </w:t>
      </w:r>
      <w:r w:rsidR="6948CF0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Table 1</w:t>
      </w:r>
      <w:r w:rsidR="401586B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)</w:t>
      </w:r>
      <w:r w:rsidR="648E7D6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</w:p>
    <w:p w14:paraId="0129CD97" w14:textId="0B2CB7F2" w:rsidR="500E43AF" w:rsidRDefault="500E43AF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6B5146F0" w14:textId="3D762531" w:rsidR="009A45CE" w:rsidRDefault="616EE090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There is no corresponding hierarchy in the </w:t>
      </w:r>
      <w:r w:rsidR="09F58FD6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tudent</w:t>
      </w:r>
      <w:r w:rsidR="0F936BB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Information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4C1DE0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ystem</w:t>
      </w:r>
      <w:r w:rsidR="3C42A159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(SIS).  There is an entity called</w:t>
      </w:r>
      <w:r w:rsidR="67139A9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</w:t>
      </w:r>
      <w:r w:rsidR="3C42A159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academic group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which is </w:t>
      </w:r>
      <w:r w:rsidR="3E4B981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comparable 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 school.  Academic </w:t>
      </w:r>
      <w:r w:rsidR="1BB74F8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g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roups ar</w:t>
      </w:r>
      <w:r w:rsidR="6E81A0F5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e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however, not </w:t>
      </w:r>
      <w:r w:rsidR="493D0E9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hierarchical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not easily changed, and do not correlate very well with financial </w:t>
      </w:r>
      <w:r w:rsidR="4CE872E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re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="4CE872E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ponsibility centers</w:t>
      </w:r>
      <w:r w:rsidR="7D2FA7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</w:t>
      </w:r>
    </w:p>
    <w:p w14:paraId="43F92B28" w14:textId="77777777" w:rsidR="00A52C26" w:rsidRPr="00484B32" w:rsidRDefault="00A52C26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352660C7" w14:textId="58AF2BD3" w:rsidR="00A52C26" w:rsidRDefault="00A52C26" w:rsidP="500E43AF">
      <w:pPr>
        <w:pStyle w:val="Caption"/>
        <w:keepNext/>
        <w:rPr>
          <w:rFonts w:ascii="BentonSans Regular" w:eastAsia="BentonSans Regular" w:hAnsi="BentonSans Regular" w:cs="BentonSans Regular"/>
        </w:rPr>
      </w:pPr>
      <w:r w:rsidRPr="500E43AF">
        <w:rPr>
          <w:rFonts w:ascii="BentonSans Regular" w:eastAsia="BentonSans Regular" w:hAnsi="BentonSans Regular" w:cs="BentonSans Regular"/>
        </w:rP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500E43AF">
        <w:rPr>
          <w:noProof/>
        </w:rPr>
        <w:t>1</w:t>
      </w:r>
      <w:r>
        <w:fldChar w:fldCharType="end"/>
      </w:r>
      <w:r w:rsidRPr="500E43AF">
        <w:rPr>
          <w:rFonts w:ascii="BentonSans Regular" w:eastAsia="BentonSans Regular" w:hAnsi="BentonSans Regular" w:cs="BentonSans Regular"/>
        </w:rPr>
        <w:t>: Academic schools are sometimes represented at different levels in the org hierarchy. This shows examples of academic school</w:t>
      </w:r>
      <w:r w:rsidR="008F7F04" w:rsidRPr="500E43AF">
        <w:rPr>
          <w:rFonts w:ascii="BentonSans Regular" w:eastAsia="BentonSans Regular" w:hAnsi="BentonSans Regular" w:cs="BentonSans Regular"/>
        </w:rPr>
        <w:t>s</w:t>
      </w:r>
      <w:r w:rsidRPr="500E43AF">
        <w:rPr>
          <w:rFonts w:ascii="BentonSans Regular" w:eastAsia="BentonSans Regular" w:hAnsi="BentonSans Regular" w:cs="BentonSans Regular"/>
        </w:rPr>
        <w:t xml:space="preserve"> being represented a</w:t>
      </w:r>
      <w:r w:rsidR="002A7CC8" w:rsidRPr="500E43AF">
        <w:rPr>
          <w:rFonts w:ascii="BentonSans Regular" w:eastAsia="BentonSans Regular" w:hAnsi="BentonSans Regular" w:cs="BentonSans Regular"/>
        </w:rPr>
        <w:t>t the</w:t>
      </w:r>
      <w:r w:rsidRPr="500E43AF">
        <w:rPr>
          <w:rFonts w:ascii="BentonSans Regular" w:eastAsia="BentonSans Regular" w:hAnsi="BentonSans Regular" w:cs="BentonSans Regular"/>
        </w:rPr>
        <w:t xml:space="preserve"> RC and department</w:t>
      </w:r>
      <w:r w:rsidR="002A7CC8" w:rsidRPr="500E43AF">
        <w:rPr>
          <w:rFonts w:ascii="BentonSans Regular" w:eastAsia="BentonSans Regular" w:hAnsi="BentonSans Regular" w:cs="BentonSans Regular"/>
        </w:rPr>
        <w:t xml:space="preserve">al levels </w:t>
      </w:r>
      <w:r w:rsidRPr="500E43AF">
        <w:rPr>
          <w:rFonts w:ascii="BentonSans Regular" w:eastAsia="BentonSans Regular" w:hAnsi="BentonSans Regular" w:cs="BentonSans Regular"/>
        </w:rPr>
        <w:t>for the Indianapolis and South Bend campuses, respectively.</w:t>
      </w:r>
    </w:p>
    <w:p w14:paraId="60276EAE" w14:textId="770EDABE" w:rsidR="009A45CE" w:rsidRPr="00484B32" w:rsidRDefault="00A52C26" w:rsidP="500E43A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3098627" wp14:editId="5202FEB1">
            <wp:extent cx="6309360" cy="2078355"/>
            <wp:effectExtent l="0" t="0" r="0" b="0"/>
            <wp:docPr id="18837453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4536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4962" w14:textId="4BCF839C" w:rsidR="009A45CE" w:rsidRPr="00484B32" w:rsidRDefault="24931247" w:rsidP="500E43AF">
      <w:pPr>
        <w:spacing w:after="0"/>
        <w:rPr>
          <w:rFonts w:ascii="BentonSans Black" w:eastAsia="BentonSans Black" w:hAnsi="BentonSans Black" w:cs="BentonSans Black"/>
          <w:b/>
          <w:bCs/>
          <w:i/>
          <w:iCs/>
          <w:color w:val="000000"/>
          <w:sz w:val="28"/>
          <w:szCs w:val="28"/>
        </w:rPr>
      </w:pPr>
      <w:r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What</w:t>
      </w:r>
      <w:r w:rsidR="7279C0DA"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 xml:space="preserve"> is Org </w:t>
      </w:r>
      <w:r w:rsidR="0AF5035E"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Mapping</w:t>
      </w:r>
      <w:r w:rsidR="7279C0DA"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?</w:t>
      </w:r>
    </w:p>
    <w:p w14:paraId="67D2DA35" w14:textId="4F41F265" w:rsidR="00BF5F35" w:rsidRDefault="00BF5F35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7FD101E6" w14:textId="2D8E135B" w:rsidR="00875731" w:rsidRDefault="38922790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b/>
          <w:bCs/>
          <w:color w:val="000000" w:themeColor="text1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In 2016, with the advent of the Decision Support Initiative, which sought to combine Financial, HR, and Student data together, it became necessary to correlate orgs in KFS/HR hierarchy to student data. </w:t>
      </w:r>
      <w:r w:rsidR="7F56BEA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There is also a growing need by leadership and legislature to </w:t>
      </w:r>
      <w:r w:rsidR="5C2A7B79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show</w:t>
      </w:r>
      <w:r w:rsidR="7F56BEA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25B5F35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return on investment </w:t>
      </w:r>
      <w:r w:rsidR="247ADE5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(</w:t>
      </w:r>
      <w:r w:rsidR="7F56BEA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ROI</w:t>
      </w:r>
      <w:r w:rsidR="6A29C46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)</w:t>
      </w:r>
      <w:r w:rsidR="55ED812C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and student outcomes</w:t>
      </w:r>
      <w:r w:rsidR="7F56BEA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at the program level.</w:t>
      </w:r>
    </w:p>
    <w:p w14:paraId="57033248" w14:textId="054DABA9" w:rsidR="00875731" w:rsidRDefault="00875731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60CFC3A2" w14:textId="5B2099FE" w:rsidR="00875731" w:rsidRDefault="77E4983B" w:rsidP="4190EE25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="0C7BC99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tudent</w:t>
      </w:r>
      <w:r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="0C7BC99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A47B30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can </w:t>
      </w:r>
      <w:r w:rsidR="787AFEE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have </w:t>
      </w:r>
      <w:r w:rsidR="18C6C4B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up to three plans recorded </w:t>
      </w:r>
      <w:r w:rsidR="73EEB49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for them</w:t>
      </w:r>
      <w:r w:rsidR="00FB4127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upon degree </w:t>
      </w:r>
      <w:r w:rsidR="6FD33C9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completion </w:t>
      </w:r>
      <w:r w:rsidR="00FB4127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or</w:t>
      </w:r>
      <w:r w:rsidR="73EEB49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8C6C4B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in each academic term</w:t>
      </w:r>
      <w:r w:rsidR="00FB4127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of enrollment</w:t>
      </w:r>
      <w:r w:rsidR="566938B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r w:rsidR="50C33B8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  <w:r w:rsidR="7B028ADA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Most</w:t>
      </w:r>
      <w:r w:rsidR="1706161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plan</w:t>
      </w:r>
      <w:r w:rsidR="572D313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="1706161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ha</w:t>
      </w:r>
      <w:r w:rsidR="45415A3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ve</w:t>
      </w:r>
      <w:r w:rsidR="1706161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been mapped to </w:t>
      </w:r>
      <w:r w:rsidR="17F62BE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 financial</w:t>
      </w:r>
      <w:r w:rsidR="1706161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org</w:t>
      </w:r>
      <w:r w:rsidR="4CBCDCBE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r w:rsidR="1706161F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167C843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This way, we can say </w:t>
      </w:r>
      <w:r w:rsidR="4BCFEF3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students with </w:t>
      </w:r>
      <w:r w:rsidR="5942AB48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 given plan “belong to” </w:t>
      </w:r>
      <w:r w:rsidR="52AC05C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 particular</w:t>
      </w:r>
      <w:r w:rsidR="5942AB48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org. </w:t>
      </w:r>
      <w:r w:rsidR="73AB8C4C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 get the most </w:t>
      </w:r>
      <w:r w:rsidR="662AF7BD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useful</w:t>
      </w:r>
      <w:r w:rsidR="138A557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57F96BC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categorization, plans</w:t>
      </w:r>
      <w:r w:rsidR="59BE494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which are </w:t>
      </w:r>
      <w:r w:rsidR="4657807C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specific</w:t>
      </w:r>
      <w:r w:rsidR="00B14CE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to</w:t>
      </w:r>
      <w:r w:rsidR="00EB393B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students’ program of study</w:t>
      </w:r>
      <w:r w:rsidR="59BE494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</w:t>
      </w:r>
      <w:r w:rsidR="2E11A7A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should be </w:t>
      </w:r>
      <w:r w:rsidR="2709E54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mapped to the most granular </w:t>
      </w:r>
      <w:r w:rsidR="090C01E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corresponding </w:t>
      </w:r>
      <w:r w:rsidR="2709E54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org</w:t>
      </w:r>
      <w:r w:rsidR="653F651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752AF4CC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feasible.</w:t>
      </w:r>
      <w:r w:rsidR="171F15BE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Table 2 shows </w:t>
      </w:r>
      <w:r w:rsidR="2C4B527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examples of plans being mapped as</w:t>
      </w:r>
      <w:r w:rsidR="02C1610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EA5B18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</w:t>
      </w:r>
      <w:r w:rsidR="02C1610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most granular </w:t>
      </w:r>
      <w:r w:rsidR="2C4B527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</w:t>
      </w:r>
      <w:r w:rsidR="02C31D2C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</w:t>
      </w:r>
      <w:r w:rsidR="2C4B527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the sub-</w:t>
      </w:r>
      <w:r w:rsidR="37E8F98B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department level (Biotechnology BS) to less </w:t>
      </w:r>
      <w:r w:rsidR="674F40E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granular at the department level (Earth Science BS</w:t>
      </w:r>
      <w:r w:rsidR="1EDA0B4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and Microbiology BS</w:t>
      </w:r>
      <w:r w:rsidR="674F40E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)</w:t>
      </w:r>
      <w:r w:rsidR="5C02FD7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to even less granular at the division level (</w:t>
      </w:r>
      <w:r w:rsidR="641F571E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Computer Science BA and Environ &amp; Sustainability BA</w:t>
      </w:r>
      <w:r w:rsidR="5C02FD71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).</w:t>
      </w:r>
      <w:r w:rsidR="36E15599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These differences</w:t>
      </w:r>
      <w:r w:rsidR="00E8859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C1BBCB0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pose</w:t>
      </w:r>
      <w:r w:rsidR="00E88592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challenges for reporting d</w:t>
      </w:r>
      <w:r w:rsidR="3B5AD024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ata at c</w:t>
      </w:r>
      <w:r w:rsidR="486F7DCA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onsistent levels of granularity. Also displayed in table 2, the org map allows for preparatory plans to be mapped to the same </w:t>
      </w:r>
      <w:proofErr w:type="spellStart"/>
      <w:r w:rsidR="486F7DCA" w:rsidRPr="43D5943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hierar</w:t>
      </w:r>
      <w:proofErr w:type="spellEnd"/>
      <w:r w:rsidRPr="43D59435">
        <w:rPr>
          <w:rStyle w:val="FootnoteReference"/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footnoteReference w:id="2"/>
      </w:r>
      <w:r w:rsidR="367BC1A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tracking and reporting intended school/RC.</w:t>
      </w:r>
      <w:r w:rsidRPr="67234D72">
        <w:rPr>
          <w:rStyle w:val="FootnoteReference"/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footnoteReference w:id="3"/>
      </w:r>
    </w:p>
    <w:p w14:paraId="71B94676" w14:textId="68B43BA3" w:rsidR="77EC0619" w:rsidRDefault="77EC0619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2C54B6F2" w14:textId="1B5EA469" w:rsidR="4775E555" w:rsidRDefault="4775E555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>Table 2. Plans should be mapped at the most granular org feasible for most useful categorization</w:t>
      </w:r>
      <w:r w:rsidR="3991AEE2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>. This shows examples of plans being mapped at the most granular level at sub-department (Biotechnology BS) to</w:t>
      </w:r>
      <w:r w:rsidR="6DD10018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 xml:space="preserve"> </w:t>
      </w:r>
      <w:r w:rsidR="3991AEE2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>l</w:t>
      </w:r>
      <w:r w:rsidR="19EB150A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>ess granular levels such as division (Computer Science BA and Environ &amp; Sustainability BA)</w:t>
      </w:r>
      <w:r w:rsidR="02DF30E2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 xml:space="preserve">. Preparatory plans can be mapped to the same hierarchy as their major counterparts, facilitating tracking </w:t>
      </w:r>
      <w:r w:rsidR="761A0A88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 xml:space="preserve">by </w:t>
      </w:r>
      <w:r w:rsidR="02DF30E2" w:rsidRPr="500E43AF">
        <w:rPr>
          <w:rFonts w:ascii="BentonSans Regular" w:eastAsia="BentonSans Regular" w:hAnsi="BentonSans Regular" w:cs="BentonSans Regular"/>
          <w:i/>
          <w:iCs/>
          <w:color w:val="000000" w:themeColor="text1"/>
          <w:sz w:val="22"/>
          <w:szCs w:val="22"/>
        </w:rPr>
        <w:t>intended school/RC.</w:t>
      </w:r>
    </w:p>
    <w:p w14:paraId="20860852" w14:textId="7ECDF845" w:rsidR="77EC0619" w:rsidRDefault="77EC0619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 w:themeColor="text1"/>
          <w:sz w:val="22"/>
          <w:szCs w:val="22"/>
        </w:rPr>
      </w:pPr>
    </w:p>
    <w:p w14:paraId="439469CB" w14:textId="60E0CC49" w:rsidR="77EC0619" w:rsidRDefault="77EC0619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 w:themeColor="text1"/>
          <w:sz w:val="22"/>
          <w:szCs w:val="22"/>
        </w:rPr>
      </w:pPr>
    </w:p>
    <w:p w14:paraId="09F799ED" w14:textId="72C984A7" w:rsidR="4775E555" w:rsidRDefault="4775E555" w:rsidP="4190EE25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</w:rPr>
      </w:pPr>
      <w:r>
        <w:rPr>
          <w:noProof/>
        </w:rPr>
        <w:lastRenderedPageBreak/>
        <w:drawing>
          <wp:inline distT="0" distB="0" distL="0" distR="0" wp14:anchorId="6A5088F3" wp14:editId="7689D793">
            <wp:extent cx="6324600" cy="1362075"/>
            <wp:effectExtent l="0" t="0" r="0" b="0"/>
            <wp:docPr id="197706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67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9773" w14:textId="16F83973" w:rsidR="00A83505" w:rsidRDefault="00A83505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Similarly, courses have a single subject.  </w:t>
      </w:r>
      <w:r w:rsidR="4F81F13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Most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subject</w:t>
      </w:r>
      <w:r w:rsidR="4888707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ha</w:t>
      </w:r>
      <w:r w:rsidR="6DD20FBB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ve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been mapped to a financial org</w:t>
      </w:r>
      <w:r w:rsidR="2F2A5065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2F2A5065" w:rsidRPr="500E43AF">
        <w:rPr>
          <w:rFonts w:ascii="BentonSans Regular" w:eastAsia="BentonSans Regular" w:hAnsi="BentonSans Regular" w:cs="BentonSans Regular"/>
          <w:b/>
          <w:bCs/>
          <w:sz w:val="22"/>
          <w:szCs w:val="22"/>
        </w:rPr>
        <w:t>(</w:t>
      </w:r>
      <w:r w:rsidR="43A6B785" w:rsidRPr="500E43AF">
        <w:rPr>
          <w:rFonts w:ascii="BentonSans Regular" w:eastAsia="BentonSans Regular" w:hAnsi="BentonSans Regular" w:cs="BentonSans Regular"/>
          <w:sz w:val="22"/>
          <w:szCs w:val="22"/>
        </w:rPr>
        <w:t>e.g. ENG-W131 with subject code ENG-W is mapped to EA-HSS</w:t>
      </w:r>
      <w:r w:rsidR="1BDA1768" w:rsidRPr="500E43AF">
        <w:rPr>
          <w:rFonts w:ascii="BentonSans Regular" w:eastAsia="BentonSans Regular" w:hAnsi="BentonSans Regular" w:cs="BentonSans Regular"/>
          <w:sz w:val="22"/>
          <w:szCs w:val="22"/>
        </w:rPr>
        <w:t xml:space="preserve"> which represents the Humanities and Social Science org on the East campus</w:t>
      </w:r>
      <w:r w:rsidR="2F2A5065" w:rsidRPr="500E43AF">
        <w:rPr>
          <w:rFonts w:ascii="BentonSans Regular" w:eastAsia="BentonSans Regular" w:hAnsi="BentonSans Regular" w:cs="BentonSans Regular"/>
          <w:b/>
          <w:bCs/>
          <w:sz w:val="22"/>
          <w:szCs w:val="22"/>
        </w:rPr>
        <w:t>)</w:t>
      </w:r>
      <w:r w:rsidRPr="500E43AF">
        <w:rPr>
          <w:rFonts w:ascii="BentonSans Regular" w:eastAsia="BentonSans Regular" w:hAnsi="BentonSans Regular" w:cs="BentonSans Regular"/>
          <w:sz w:val="22"/>
          <w:szCs w:val="22"/>
        </w:rPr>
        <w:t xml:space="preserve">. 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This way, we can say courses with a given subject “belong to” that org.</w:t>
      </w:r>
    </w:p>
    <w:p w14:paraId="7BFAF69B" w14:textId="77777777" w:rsidR="00A83505" w:rsidRDefault="00A83505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07CBDD43" w14:textId="0CD02360" w:rsidR="00A83505" w:rsidRPr="00484B32" w:rsidRDefault="00A83505" w:rsidP="500E43AF">
      <w:pPr>
        <w:rPr>
          <w:rFonts w:ascii="BentonSans Black" w:eastAsia="BentonSans Black" w:hAnsi="BentonSans Black" w:cs="BentonSans Black"/>
          <w:b/>
          <w:bCs/>
          <w:i/>
          <w:iCs/>
          <w:color w:val="000000"/>
          <w:sz w:val="28"/>
          <w:szCs w:val="28"/>
        </w:rPr>
      </w:pPr>
      <w:r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How is Org Mapping maintained in SIS?</w:t>
      </w:r>
    </w:p>
    <w:p w14:paraId="2A3C5034" w14:textId="4BFEBB65" w:rsidR="00BE7A79" w:rsidRDefault="00D52D61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On the </w:t>
      </w:r>
      <w:r w:rsidR="00AD5E1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SIS 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plan table PS_ACAD_PLAN</w:t>
      </w:r>
      <w:r w:rsidR="0089193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</w:t>
      </w:r>
      <w:r w:rsidR="00970A0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two columns </w:t>
      </w:r>
      <w:r w:rsidR="005A7F4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have been added </w:t>
      </w:r>
      <w:r w:rsidR="00CC01B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 </w:t>
      </w:r>
      <w:r w:rsidR="00B264B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spe</w:t>
      </w:r>
      <w:r w:rsidR="006E33D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cify the </w:t>
      </w:r>
      <w:r w:rsidR="00AA2CF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uni</w:t>
      </w:r>
      <w:r w:rsidR="00C8127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que org (chart and org) </w:t>
      </w:r>
      <w:r w:rsidR="00C574B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for that plan.</w:t>
      </w:r>
      <w:r w:rsidR="00BE7A79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  <w:r w:rsidR="780F187E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Chart code is a two-character code which originates in the COA, which designates an individual campus (e.g. BL for Bloomington). </w:t>
      </w:r>
      <w:r w:rsidR="00BE7A79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These are </w:t>
      </w:r>
      <w:r w:rsidR="00C721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readily available</w:t>
      </w:r>
      <w:r w:rsidR="00B80E4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in </w:t>
      </w:r>
      <w:r w:rsidR="0070441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 data warehouse</w:t>
      </w:r>
      <w:r w:rsidR="00C721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from </w:t>
      </w:r>
      <w:r w:rsidR="00B80E4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</w:t>
      </w:r>
      <w:r w:rsidR="00C721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table DSS_SH.SH_ACAD_PLAN_DM.</w:t>
      </w:r>
    </w:p>
    <w:p w14:paraId="1FA6E183" w14:textId="77777777" w:rsidR="0042400C" w:rsidRDefault="0042400C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2264146B" w14:textId="0A8F1BA7" w:rsidR="00504083" w:rsidRDefault="00124035" w:rsidP="5C0F9FFA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On the</w:t>
      </w:r>
      <w:r w:rsidR="006C4A6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SIS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866AD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subject table PS_SUBJECT</w:t>
      </w:r>
      <w:r w:rsidR="0020306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_TBL</w:t>
      </w:r>
      <w:r w:rsidR="0050408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two columns have been added to specify the unique org (chart and org) for that </w:t>
      </w:r>
      <w:r w:rsidR="00F77E67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subject</w:t>
      </w:r>
      <w:r w:rsidR="0050408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r w:rsidR="00BD040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These are readily available in </w:t>
      </w:r>
      <w:r w:rsidR="0070441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 data warehouse</w:t>
      </w:r>
      <w:r w:rsidR="00BD040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from the table </w:t>
      </w:r>
      <w:r w:rsidR="76652C5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DSS_SH.SH_SR_CRS_SUBJ_INST_</w:t>
      </w:r>
      <w:proofErr w:type="gramStart"/>
      <w:r w:rsidR="76652C5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DM </w:t>
      </w:r>
      <w:r w:rsidR="00BD040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proofErr w:type="gramEnd"/>
    </w:p>
    <w:p w14:paraId="1CEE342B" w14:textId="77777777" w:rsidR="00DC340C" w:rsidRDefault="00DC340C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5A7CA4E6" w14:textId="4BA790A4" w:rsidR="00553147" w:rsidRDefault="009505D6" w:rsidP="573D8E93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For convenience, </w:t>
      </w:r>
      <w:r w:rsidR="00E76EBD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we have created </w:t>
      </w:r>
      <w:r w:rsidR="00687ADE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database views</w:t>
      </w:r>
      <w:r w:rsidR="00C45D67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in the data warehouse</w:t>
      </w:r>
      <w:r w:rsidR="00687ADE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that combine org mapping and org hierarchy together</w:t>
      </w:r>
      <w:r w:rsidR="00E03D29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ready to join</w:t>
      </w:r>
      <w:r w:rsidR="20A950C2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E03D29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 </w:t>
      </w:r>
      <w:r w:rsidR="00CC51E5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your data source</w:t>
      </w:r>
      <w:r w:rsidR="004104E9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r w:rsidR="00D745A1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The plan view is called </w:t>
      </w:r>
      <w:r w:rsidR="00211DC6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DSS_RDS.IR_</w:t>
      </w:r>
      <w:r w:rsidR="003D2709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STU_PLN_FIN_ORG_</w:t>
      </w:r>
      <w:r w:rsidR="006F1013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HIER_V</w:t>
      </w:r>
      <w:r w:rsidR="1E7DF654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with </w:t>
      </w:r>
      <w:r w:rsidR="04646AE4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primary keys/</w:t>
      </w:r>
      <w:r w:rsidR="1E7DF654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granularity being defined by campus (INST_CD) and </w:t>
      </w:r>
      <w:r w:rsidR="05DD1D8C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plan (ACAD_PLAN_CD</w:t>
      </w:r>
      <w:proofErr w:type="gramStart"/>
      <w:r w:rsidR="05DD1D8C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)</w:t>
      </w:r>
      <w:r w:rsidR="7882A331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  <w:r w:rsidR="780670CC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</w:t>
      </w:r>
      <w:r w:rsidR="007410B1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he</w:t>
      </w:r>
      <w:proofErr w:type="gramEnd"/>
      <w:r w:rsidR="007410B1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subject view is</w:t>
      </w:r>
      <w:r w:rsidR="006F1013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DSS_RDS.IR_CRS_SUBJ</w:t>
      </w:r>
      <w:r w:rsidR="00AF3DD1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_FIN_ORG_HIER_V</w:t>
      </w:r>
      <w:r w:rsidR="004425D5" w:rsidRPr="573D8E93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</w:t>
      </w:r>
    </w:p>
    <w:p w14:paraId="73274283" w14:textId="74701A0B" w:rsidR="00124035" w:rsidRDefault="00124035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039B6B75" w14:textId="75DDC617" w:rsidR="004E4A7B" w:rsidRPr="00995435" w:rsidRDefault="004E4A7B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b/>
          <w:bCs/>
          <w:i/>
          <w:iCs/>
          <w:color w:val="000000"/>
          <w:sz w:val="28"/>
          <w:szCs w:val="28"/>
        </w:rPr>
      </w:pPr>
      <w:r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 xml:space="preserve">How is Org Mapping </w:t>
      </w:r>
      <w:r w:rsidR="00DF55DD" w:rsidRPr="500E43AF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surfaced in Tableau?</w:t>
      </w:r>
    </w:p>
    <w:p w14:paraId="7C762CCF" w14:textId="77777777" w:rsidR="004E4A7B" w:rsidRDefault="004E4A7B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03BAD664" w14:textId="0C6604B7" w:rsidR="00120166" w:rsidRDefault="00767312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Tableau reports are an ideal </w:t>
      </w:r>
      <w:r w:rsidR="00E631A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medium </w:t>
      </w:r>
      <w:r w:rsidR="000571C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for </w:t>
      </w:r>
      <w:r w:rsidR="00A856B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org mapping.</w:t>
      </w:r>
      <w:r w:rsidR="006E60F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  <w:r w:rsidR="00EB0E0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When org mapping has been </w:t>
      </w:r>
      <w:r w:rsidR="00E35006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joined to </w:t>
      </w:r>
      <w:r w:rsidR="00781775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</w:t>
      </w:r>
      <w:r w:rsidR="00FB059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underlying </w:t>
      </w:r>
      <w:r w:rsidR="00781775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data</w:t>
      </w:r>
      <w:r w:rsidR="00F04A5B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</w:t>
      </w:r>
      <w:r w:rsidR="00FB059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it is </w:t>
      </w:r>
      <w:r w:rsidR="0067051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possible to </w:t>
      </w:r>
      <w:r w:rsidR="0055286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subtotal </w:t>
      </w:r>
      <w:r w:rsidR="00AA21A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measures by </w:t>
      </w:r>
      <w:r w:rsidR="005D0E2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elements of the org hierarchy.  One common application</w:t>
      </w:r>
      <w:r w:rsidR="00A1252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(in EBI/AM360 workbooks)</w:t>
      </w:r>
      <w:r w:rsidR="005D0E2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is to use </w:t>
      </w:r>
      <w:r w:rsidR="00A52A0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Responsibility Center (RC_CD_AND_DESC)</w:t>
      </w:r>
      <w:r w:rsidR="008D472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A52A0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and Department (COMB_DEPT_LVL_DESC) as filters</w:t>
      </w:r>
      <w:r w:rsidR="00C4107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</w:t>
      </w:r>
    </w:p>
    <w:p w14:paraId="3CF8AA10" w14:textId="77777777" w:rsidR="00AE5CA0" w:rsidRDefault="00AE5CA0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7DAC76A1" w14:textId="0487659B" w:rsidR="00AE5CA0" w:rsidRDefault="035084BC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Another application is to </w:t>
      </w:r>
      <w:proofErr w:type="gramStart"/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subtotal</w:t>
      </w:r>
      <w:proofErr w:type="gramEnd"/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5026EBA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large populations by dimensions in the org hierarchy. </w:t>
      </w:r>
      <w:r w:rsidR="634EA959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In the </w:t>
      </w:r>
      <w:r w:rsidR="6953F32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Official Enrollment tableau</w:t>
      </w:r>
      <w:r w:rsidR="5026EBA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screen</w:t>
      </w:r>
      <w:r w:rsidR="66BECEAE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shot below</w:t>
      </w:r>
      <w:r w:rsidR="6953F32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each level has been </w:t>
      </w:r>
      <w:r w:rsidR="7A97C62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added as an Attribute.  </w:t>
      </w:r>
      <w:r w:rsidR="48A6CF5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Selecting “School”, “Division”, and </w:t>
      </w:r>
      <w:r w:rsidR="54C415B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“Department”</w:t>
      </w:r>
      <w:r w:rsidR="07A1FCC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as the three Attributes</w:t>
      </w:r>
      <w:r w:rsidR="54C415B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shows the hierarchical nature of the</w:t>
      </w:r>
      <w:r w:rsidR="350D64B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dimensions.  </w:t>
      </w:r>
      <w:r w:rsidR="61DA717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In the </w:t>
      </w:r>
      <w:r w:rsidR="7BDF289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snapshot below, 60 students with plans that have been mapped to</w:t>
      </w:r>
      <w:r w:rsidR="334128B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Department</w:t>
      </w:r>
      <w:r w:rsidR="7BDF289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“Art History”</w:t>
      </w:r>
      <w:r w:rsidR="3189FE2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have enrolled in Fall 2025.</w:t>
      </w:r>
    </w:p>
    <w:p w14:paraId="23DA61D0" w14:textId="77777777" w:rsidR="00F96FC3" w:rsidRDefault="00F96FC3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3DD4EA2A" w14:textId="32E94F81" w:rsidR="00F96FC3" w:rsidRDefault="1326E2D3" w:rsidP="500E43AF">
      <w:pPr>
        <w:spacing w:after="0"/>
        <w:rPr>
          <w:rFonts w:ascii="BentonSans Regular" w:eastAsia="BentonSans Regular" w:hAnsi="BentonSans Regular" w:cs="BentonSans Regular"/>
        </w:rPr>
      </w:pPr>
      <w:r>
        <w:rPr>
          <w:noProof/>
        </w:rPr>
        <w:lastRenderedPageBreak/>
        <w:drawing>
          <wp:inline distT="0" distB="0" distL="0" distR="0" wp14:anchorId="07E85D5A" wp14:editId="37A8F3F5">
            <wp:extent cx="6324600" cy="5153025"/>
            <wp:effectExtent l="0" t="0" r="0" b="0"/>
            <wp:docPr id="20310951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9510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27BE" w14:textId="77777777" w:rsidR="00CD0F50" w:rsidRDefault="00CD0F50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4E0F1D51" w14:textId="77777777" w:rsidR="00EB53A4" w:rsidRDefault="00EB53A4" w:rsidP="500E43AF">
      <w:pPr>
        <w:rPr>
          <w:rFonts w:ascii="BentonSans Regular" w:eastAsia="BentonSans Regular" w:hAnsi="BentonSans Regular" w:cs="BentonSans Regular"/>
          <w:color w:val="000000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</w:rPr>
        <w:br w:type="page"/>
      </w:r>
    </w:p>
    <w:p w14:paraId="0111E2C6" w14:textId="14FD2207" w:rsidR="0021531B" w:rsidRDefault="0021531B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lastRenderedPageBreak/>
        <w:t>Historically,</w:t>
      </w:r>
      <w:r w:rsidR="00C41FB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F05CB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SIS </w:t>
      </w:r>
      <w:r w:rsidR="0006657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dimension Academic Group has been used </w:t>
      </w:r>
      <w:r w:rsidR="00E32DA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as a proxy for “School”.  </w:t>
      </w:r>
      <w:r w:rsidR="00BE4E5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As mentioned earlier, acad</w:t>
      </w:r>
      <w:r w:rsidR="0009312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emic groups are not </w:t>
      </w:r>
      <w:r w:rsidR="006747D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an accurate representation of School, </w:t>
      </w:r>
      <w:r w:rsidR="00A36A3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so as org mapping is being added to existing tableau reports, </w:t>
      </w:r>
      <w:r w:rsidR="00351CA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if the academic </w:t>
      </w:r>
      <w:r w:rsidR="003B65F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group</w:t>
      </w:r>
      <w:r w:rsidR="00351CA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dimension is going to be retained</w:t>
      </w:r>
      <w:r w:rsidR="002F045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in the workbook, </w:t>
      </w:r>
      <w:r w:rsidR="006B783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best practice would be to revert the label back to </w:t>
      </w:r>
      <w:r w:rsidR="00621D4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academic group</w:t>
      </w:r>
      <w:r w:rsidR="0070084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reserving “School” for the </w:t>
      </w:r>
      <w:r w:rsidR="004B55D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responsibility center </w:t>
      </w:r>
      <w:r w:rsidR="00CE442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obtained from org mapping.</w:t>
      </w:r>
    </w:p>
    <w:p w14:paraId="275EEC33" w14:textId="77777777" w:rsidR="00E15144" w:rsidRDefault="00E15144" w:rsidP="500E43AF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color w:val="000000"/>
          <w:sz w:val="22"/>
          <w:szCs w:val="22"/>
        </w:rPr>
      </w:pPr>
    </w:p>
    <w:p w14:paraId="7DCE03EC" w14:textId="675A1276" w:rsidR="008408C4" w:rsidRDefault="31D66FD9" w:rsidP="67234D72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</w:pPr>
      <w:r w:rsidRPr="67234D72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A Deep Dive into Orgs and RCs: Some Unique Campus Considerations</w:t>
      </w:r>
    </w:p>
    <w:p w14:paraId="2A03F96E" w14:textId="4B20E564" w:rsidR="008408C4" w:rsidRDefault="618BFD4E" w:rsidP="404419D2">
      <w:pPr>
        <w:pStyle w:val="NormalWeb"/>
        <w:spacing w:before="0" w:beforeAutospacing="0" w:after="0" w:afterAutospacing="0"/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</w:pPr>
      <w:r w:rsidRPr="404419D2">
        <w:rPr>
          <w:rFonts w:ascii="BentonSans Black" w:eastAsia="BentonSans Black" w:hAnsi="BentonSans Black" w:cs="BentonSans Black"/>
          <w:b/>
          <w:bCs/>
          <w:i/>
          <w:iCs/>
          <w:color w:val="000000" w:themeColor="text1"/>
          <w:sz w:val="28"/>
          <w:szCs w:val="28"/>
        </w:rPr>
        <w:t>How are Schools that are not RCs represented in Org Hierarchy?</w:t>
      </w:r>
    </w:p>
    <w:p w14:paraId="3C5C35E1" w14:textId="007FA2FE" w:rsidR="404419D2" w:rsidRDefault="404419D2" w:rsidP="404419D2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242424"/>
          <w:sz w:val="21"/>
          <w:szCs w:val="21"/>
        </w:rPr>
      </w:pPr>
    </w:p>
    <w:p w14:paraId="68AD0276" w14:textId="21C5D40E" w:rsidR="008408C4" w:rsidRDefault="009E50EA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UNIV is the </w:t>
      </w:r>
      <w:r w:rsidR="006045A5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top org in KFS.  It is the only org that does not have a parent.</w:t>
      </w:r>
      <w:r w:rsidR="00FF6F6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There are </w:t>
      </w:r>
      <w:r w:rsidR="0012505B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10</w:t>
      </w:r>
      <w:r w:rsidR="00FF6F64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orgs </w:t>
      </w:r>
      <w:r w:rsidR="001B4289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whose </w:t>
      </w:r>
      <w:r w:rsidR="440D222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parents are</w:t>
      </w:r>
      <w:r w:rsidR="001B4289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UNIV</w:t>
      </w:r>
      <w:r w:rsidR="46D0F65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 Generally</w:t>
      </w:r>
      <w:r w:rsidR="00274E0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</w:t>
      </w:r>
      <w:r w:rsidR="003206F6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these are</w:t>
      </w:r>
      <w:r w:rsidR="00274E0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each </w:t>
      </w:r>
      <w:r w:rsidR="00A0606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campus</w:t>
      </w:r>
      <w:r w:rsidR="00274E0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plus University Administration.</w:t>
      </w:r>
      <w:r w:rsidR="00EB396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  <w:r w:rsidR="00A93D8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We have </w:t>
      </w:r>
      <w:r w:rsidR="00A0606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named these</w:t>
      </w:r>
      <w:r w:rsidR="00A93D8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level 2 orgs.</w:t>
      </w:r>
      <w:r w:rsidR="00C06BDA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</w:p>
    <w:p w14:paraId="68FBC62D" w14:textId="77777777" w:rsidR="008408C4" w:rsidRDefault="008408C4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1D8C781E" w14:textId="320F7A5F" w:rsidR="00EF613F" w:rsidRDefault="7FA413B2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Similarly, the orgs whose parent is a level 2 org are</w:t>
      </w:r>
      <w:r w:rsidR="4D8FF35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locally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known as level 3 orgs.  </w:t>
      </w:r>
      <w:r w:rsidR="2D4327A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These </w:t>
      </w:r>
      <w:r w:rsidR="777AE1C5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level 3 </w:t>
      </w:r>
      <w:r w:rsidR="2D4327A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orgs are </w:t>
      </w:r>
      <w:proofErr w:type="gramStart"/>
      <w:r w:rsidR="2D4327A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frequently</w:t>
      </w:r>
      <w:proofErr w:type="gramEnd"/>
      <w:r w:rsidR="031AAE4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responsibility centers</w:t>
      </w:r>
      <w:r w:rsidR="2D4327A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but not always</w:t>
      </w:r>
      <w:r w:rsidR="640B8D1C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Responsibility Centers are </w:t>
      </w:r>
      <w:r w:rsidR="453D91F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generally large orgs that have </w:t>
      </w:r>
      <w:r w:rsidR="77345E3C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administrative </w:t>
      </w:r>
      <w:r w:rsidR="27C1C22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and budgetary </w:t>
      </w:r>
      <w:r w:rsidR="3644D6F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resources and</w:t>
      </w:r>
      <w:r w:rsidR="27C1C22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responsibility.  </w:t>
      </w:r>
      <w:r w:rsidR="3644D6F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There is a </w:t>
      </w:r>
      <w:r w:rsidR="441E168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Y/N field on the org table indicating whether </w:t>
      </w:r>
      <w:r w:rsidR="4681AAB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 given org</w:t>
      </w:r>
      <w:r w:rsidR="441E168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is a responsibility center or not.  </w:t>
      </w:r>
      <w:r w:rsidR="7582F05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It does not have to be a level 3 org</w:t>
      </w:r>
      <w:r w:rsidR="76CAF9A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either</w:t>
      </w:r>
      <w:r w:rsidR="36615BCE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; at East, </w:t>
      </w:r>
      <w:r w:rsidR="7474EFE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 RCs are level 4</w:t>
      </w:r>
      <w:r w:rsidR="76CAF9A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Responsibility Centers at Bloomington and Indianapolis tend to be Schools, like the Law School or </w:t>
      </w:r>
      <w:r w:rsidR="7C2F5096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Business School.</w:t>
      </w:r>
      <w:r w:rsidR="4F836F1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RCs at regional campuses tend to be administrative units that have </w:t>
      </w:r>
      <w:r w:rsidR="634FA1B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oversight over one or more schools.</w:t>
      </w:r>
    </w:p>
    <w:p w14:paraId="7CB3318E" w14:textId="77777777" w:rsidR="008B69DC" w:rsidRDefault="008B69DC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008FA661" w14:textId="6438B5CE" w:rsidR="005A7FC5" w:rsidRDefault="002E4D44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Also on the org table, there is a field called RC</w:t>
      </w:r>
      <w:r w:rsidR="00A53C9B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_CD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This is a </w:t>
      </w:r>
      <w:r w:rsidR="709FF43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two-character</w:t>
      </w: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0450CA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alpha-numeric field.  </w:t>
      </w:r>
      <w:r w:rsidR="00A53C9B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Examples are </w:t>
      </w:r>
      <w:r w:rsidR="00594D5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4</w:t>
      </w:r>
      <w:r w:rsidR="00624B8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B</w:t>
      </w:r>
      <w:r w:rsidR="00594D5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and 24.  </w:t>
      </w:r>
      <w:r w:rsidR="00476FF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If we concatenate the RC_CD and </w:t>
      </w:r>
      <w:r w:rsidR="009C4796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ORG_NM of an org marked as an RC, we get </w:t>
      </w:r>
      <w:r w:rsidR="003718E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RC_CD_AND_DESC, for example </w:t>
      </w:r>
      <w:r w:rsidR="00EA5D0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4B – MEDIA SCHOOL or 24 – BUSINESS.  </w:t>
      </w:r>
      <w:r w:rsidR="0014154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South Bend has one </w:t>
      </w:r>
      <w:r w:rsidR="00FF7BF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(academic) </w:t>
      </w:r>
      <w:r w:rsidR="00141543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RC</w:t>
      </w:r>
      <w:r w:rsidR="00FF7BF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: 52 – ACADEMIC PROGRAMS.  </w:t>
      </w:r>
    </w:p>
    <w:p w14:paraId="59350A2B" w14:textId="77777777" w:rsidR="005A7FC5" w:rsidRDefault="005A7FC5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7265FB75" w14:textId="2F67B3D8" w:rsidR="00C96A7B" w:rsidRDefault="2C46C2D3" w:rsidP="67234D7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Children of level 3 orgs </w:t>
      </w:r>
      <w:r w:rsidR="020AC71E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are level 4 orgs.  If the level 3 org was an RC, then the level 4 org might be called a </w:t>
      </w:r>
      <w:proofErr w:type="gramStart"/>
      <w:r w:rsidR="480D5497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Division</w:t>
      </w:r>
      <w:proofErr w:type="gramEnd"/>
      <w:r w:rsidR="480D5497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</w:t>
      </w:r>
      <w:r w:rsidR="5D13232F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Following the pattern, level 5 orgs </w:t>
      </w:r>
      <w:r w:rsidR="67DABAB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are labeled Departments and level </w:t>
      </w:r>
      <w:proofErr w:type="gramStart"/>
      <w:r w:rsidR="67DABAB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6 orgs</w:t>
      </w:r>
      <w:proofErr w:type="gramEnd"/>
      <w:r w:rsidR="67DABAB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are Sub-Departments.</w:t>
      </w:r>
      <w:r w:rsidR="48388AB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  <w:r w:rsidR="562DB127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</w:t>
      </w:r>
      <w:r w:rsidR="0B2A69D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e </w:t>
      </w:r>
      <w:r w:rsidR="11D7EF2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associative </w:t>
      </w:r>
      <w:r w:rsidR="66C43B2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power</w:t>
      </w:r>
      <w:r w:rsidR="56EFD7E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B2A69D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of these labels diminishes with each </w:t>
      </w:r>
      <w:r w:rsidR="56EFD7E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additional level</w:t>
      </w:r>
      <w:r w:rsidR="66C43B2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because they mean different things on different campuses.</w:t>
      </w:r>
    </w:p>
    <w:p w14:paraId="07849882" w14:textId="77777777" w:rsidR="00910439" w:rsidRDefault="00910439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5412C7AD" w14:textId="14C6DD1F" w:rsidR="00E15B60" w:rsidRDefault="00A26708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  <w:r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There are a few outliers that don’t fit the </w:t>
      </w:r>
      <w:r w:rsidR="008A17C6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level 3 </w:t>
      </w:r>
      <w:r w:rsidR="009A14C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= RC assumption.  </w:t>
      </w:r>
      <w:r w:rsidR="007D514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For East, </w:t>
      </w:r>
      <w:r w:rsidR="00B70021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</w:t>
      </w:r>
      <w:r w:rsidR="008A56D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RC_CD_AND_DESC is the same as the Division</w:t>
      </w:r>
      <w:r w:rsidR="00801BB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because the RC is </w:t>
      </w:r>
      <w:r w:rsidR="3DF513DD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</w:t>
      </w:r>
      <w:r w:rsidR="00801BB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level 4 org</w:t>
      </w:r>
      <w:r w:rsidR="62FD0FCC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 Kokomo</w:t>
      </w:r>
      <w:r w:rsidR="009A14C0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has a mix of RCs at level 3 and level 4.</w:t>
      </w:r>
      <w:r w:rsidR="00040AF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At South Bend, the </w:t>
      </w:r>
      <w:r w:rsidR="00A4289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single </w:t>
      </w:r>
      <w:r w:rsidR="00040AF8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RC is level 3, but RC is an administrative</w:t>
      </w:r>
      <w:r w:rsidR="00A4289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2FE2F7DF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unit,</w:t>
      </w:r>
      <w:r w:rsidR="00A42897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and the schools are at level 4.</w:t>
      </w:r>
      <w:r w:rsidR="00064C02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Columbus</w:t>
      </w:r>
      <w:r w:rsidR="0079682E" w:rsidRPr="500E43AF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campus is a single RC on the IN chart, and their schools are level 4 orgs.</w:t>
      </w:r>
    </w:p>
    <w:p w14:paraId="1643F0D5" w14:textId="77777777" w:rsidR="00E15B60" w:rsidRDefault="00E15B60" w:rsidP="500E43A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/>
          <w:sz w:val="22"/>
          <w:szCs w:val="22"/>
        </w:rPr>
      </w:pPr>
    </w:p>
    <w:p w14:paraId="626DB80B" w14:textId="08D038EE" w:rsidR="12CF4D31" w:rsidRDefault="12CF4D31" w:rsidP="796FD834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There are a couple of </w:t>
      </w:r>
      <w:r w:rsidR="21DEF36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(Bloomington) 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cases where</w:t>
      </w:r>
      <w:r w:rsidR="3371A54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via hardcoding an exception in the org hier</w:t>
      </w:r>
      <w:r w:rsidR="2D45BC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archy build logic,</w:t>
      </w:r>
      <w:r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</w:t>
      </w:r>
      <w:r w:rsidR="27915B9C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non-RC </w:t>
      </w:r>
      <w:r w:rsidR="375B36D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org has been “promoted” to </w:t>
      </w:r>
      <w:r w:rsidR="4D4BCA8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an </w:t>
      </w:r>
      <w:r w:rsidR="375B36D4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RC</w:t>
      </w:r>
      <w:r w:rsidR="2D45BC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</w:t>
      </w:r>
      <w:r w:rsidR="785999E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2D45BC30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thereby shifting all subordinate orgs up one level</w:t>
      </w:r>
      <w:r w:rsidR="3161CBD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For example, Nursing </w:t>
      </w:r>
      <w:r w:rsidR="55CFA9E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is a</w:t>
      </w:r>
      <w:r w:rsidR="3161CBD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55CFA9E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child of</w:t>
      </w:r>
      <w:r w:rsidR="3161CBD1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RC </w:t>
      </w:r>
      <w:r w:rsidR="58C89F6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52 – Other Academic Programs, but it appears in org hierarchy as 52 – Nursing.  </w:t>
      </w:r>
      <w:r w:rsidR="68A02208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W</w:t>
      </w:r>
      <w:r w:rsidR="32BD666D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e could apply that same technique to </w:t>
      </w:r>
      <w:r w:rsidR="650A5B5A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other</w:t>
      </w:r>
      <w:r w:rsidR="30C114D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outliers</w:t>
      </w:r>
      <w:r w:rsidR="65B780B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if </w:t>
      </w:r>
      <w:r w:rsidR="27693B0B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stakeholders </w:t>
      </w:r>
      <w:r w:rsidR="65B780B2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deemed it appropriate.</w:t>
      </w:r>
      <w:r w:rsidR="3A9D4DE3" w:rsidRPr="67234D7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 </w:t>
      </w:r>
    </w:p>
    <w:p w14:paraId="0105294F" w14:textId="5AE4F1D6" w:rsidR="796FD834" w:rsidRDefault="796FD834" w:rsidP="796FD834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139951FB" w14:textId="24F3B987" w:rsidR="00594E74" w:rsidRDefault="3870F0DF" w:rsidP="179B222F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proofErr w:type="gramStart"/>
      <w:r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In order to</w:t>
      </w:r>
      <w:proofErr w:type="gramEnd"/>
      <w:r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12C5BD09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accommodate</w:t>
      </w:r>
      <w:r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these exceptions, </w:t>
      </w:r>
      <w:r w:rsidR="5814AC9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we have built</w:t>
      </w:r>
      <w:r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 </w:t>
      </w:r>
      <w:r w:rsidR="3DB8B46E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RC override table </w:t>
      </w:r>
      <w:r w:rsidR="050D3E55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which </w:t>
      </w:r>
      <w:r w:rsidR="518C2A7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lists orgs that should be rendered in </w:t>
      </w:r>
      <w:r w:rsidR="755D06A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the </w:t>
      </w:r>
      <w:r w:rsidR="518C2A7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hierarchy a</w:t>
      </w:r>
      <w:r w:rsidR="65BCD041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 the </w:t>
      </w:r>
      <w:r w:rsidR="3821C2E2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top </w:t>
      </w:r>
      <w:r w:rsidR="65BCD041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level</w:t>
      </w:r>
      <w:r w:rsidR="518C2A7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even though they are not marked as RCs in KFS</w:t>
      </w:r>
      <w:r w:rsidR="2282150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.  These exceptions are typically academic schools</w:t>
      </w:r>
      <w:r w:rsidR="518C2A7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.  </w:t>
      </w:r>
      <w:r w:rsidR="027D402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This way, for example, Bloomington Nursing</w:t>
      </w:r>
      <w:r w:rsidR="768F2E9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, which is not an RC,</w:t>
      </w:r>
      <w:r w:rsidR="027D402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can </w:t>
      </w:r>
      <w:r w:rsidR="73ABC2C4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be promoted to </w:t>
      </w:r>
      <w:r w:rsidR="6027A417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appear as</w:t>
      </w:r>
      <w:r w:rsidR="6EB566C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an RC in the org hierarchy.  This also allows schools at regional campuses</w:t>
      </w:r>
      <w:r w:rsidR="6600B2D9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, which are not necessarily RCs in KFS, </w:t>
      </w:r>
      <w:r w:rsidR="6EB566CF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to fit the pattern of </w:t>
      </w:r>
      <w:r w:rsidR="2A265E7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lastRenderedPageBreak/>
        <w:t xml:space="preserve">School &gt; Division &gt; Department &gt; Sub-Department.  </w:t>
      </w:r>
      <w:proofErr w:type="gramStart"/>
      <w:r w:rsidR="2A265E7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In order to</w:t>
      </w:r>
      <w:proofErr w:type="gramEnd"/>
      <w:r w:rsidR="2A265E7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distinguish between </w:t>
      </w:r>
      <w:r w:rsidR="475E58C4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actual KFS </w:t>
      </w:r>
      <w:r w:rsidR="6C956AA4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Responsibility Centers </w:t>
      </w:r>
      <w:r w:rsidR="475E58C4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and </w:t>
      </w:r>
      <w:r w:rsidR="2A265E7D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this adaptation </w:t>
      </w:r>
      <w:r w:rsidR="09094CC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to make academic schools appear as RCs,</w:t>
      </w:r>
      <w:r w:rsidR="27A4EA72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in</w:t>
      </w:r>
      <w:r w:rsidR="09094CC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443C80F7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T</w:t>
      </w:r>
      <w:r w:rsidR="17ADB32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ableau</w:t>
      </w:r>
      <w:r w:rsidR="7054CBDB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</w:t>
      </w:r>
      <w:r w:rsidR="0E2DFA22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reports</w:t>
      </w:r>
      <w:r w:rsidR="17ADB326" w:rsidRPr="67294795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 xml:space="preserve"> that use this feature, the top org will be called “School”.</w:t>
      </w:r>
    </w:p>
    <w:p w14:paraId="37977716" w14:textId="311537DD" w:rsidR="404419D2" w:rsidRDefault="404419D2" w:rsidP="404419D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2BF515A3" w14:textId="4B6D05E3" w:rsidR="15C6C006" w:rsidRDefault="15C6C006" w:rsidP="404419D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  <w:r w:rsidRPr="404419D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As of 11/24/2025, these are the orgs that are being presented in org hierarchy as School even though they are not RCs in KFS</w:t>
      </w:r>
      <w:r w:rsidR="2892B256" w:rsidRPr="404419D2"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  <w:t>:</w:t>
      </w:r>
    </w:p>
    <w:p w14:paraId="31EA7354" w14:textId="1AABE756" w:rsidR="404419D2" w:rsidRDefault="404419D2" w:rsidP="404419D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567"/>
        <w:gridCol w:w="1156"/>
        <w:gridCol w:w="5179"/>
      </w:tblGrid>
      <w:tr w:rsidR="404419D2" w14:paraId="5EFABABB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4DC"/>
            <w:tcMar>
              <w:top w:w="15" w:type="dxa"/>
              <w:left w:w="15" w:type="dxa"/>
              <w:right w:w="15" w:type="dxa"/>
            </w:tcMar>
            <w:vAlign w:val="bottom"/>
          </w:tcPr>
          <w:p w14:paraId="7B6A13A1" w14:textId="730824A7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FIN_COA_CD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4DC"/>
            <w:tcMar>
              <w:top w:w="15" w:type="dxa"/>
              <w:left w:w="15" w:type="dxa"/>
              <w:right w:w="15" w:type="dxa"/>
            </w:tcMar>
            <w:vAlign w:val="bottom"/>
          </w:tcPr>
          <w:p w14:paraId="76014B7B" w14:textId="0984C45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ORG_CD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4DC"/>
            <w:tcMar>
              <w:top w:w="15" w:type="dxa"/>
              <w:left w:w="15" w:type="dxa"/>
              <w:right w:w="15" w:type="dxa"/>
            </w:tcMar>
            <w:vAlign w:val="bottom"/>
          </w:tcPr>
          <w:p w14:paraId="5331D5FD" w14:textId="767C52FC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ORG_NM</w:t>
            </w:r>
          </w:p>
        </w:tc>
      </w:tr>
      <w:tr w:rsidR="404419D2" w14:paraId="66D5912E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7C8AF4" w14:textId="758D40A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00F0E" w14:textId="47852E9F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AERO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D5932" w14:textId="710659C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AEROSPACE STUDIES</w:t>
            </w:r>
          </w:p>
        </w:tc>
      </w:tr>
      <w:tr w:rsidR="404419D2" w14:paraId="360C011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F71292" w14:textId="4D805481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2ADE6" w14:textId="323D914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MILS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3A1DA" w14:textId="0A856C5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MILITARY SCIENCE</w:t>
            </w:r>
          </w:p>
        </w:tc>
      </w:tr>
      <w:tr w:rsidR="404419D2" w14:paraId="2D340EF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5B7997" w14:textId="5A844255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C5779" w14:textId="6A0CAC4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NURS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5F73A" w14:textId="5C3C207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NURSING</w:t>
            </w:r>
          </w:p>
        </w:tc>
      </w:tr>
      <w:tr w:rsidR="404419D2" w14:paraId="41365FB4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2D5C3" w14:textId="24992B0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A3216A" w14:textId="71AB77E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SOCW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3E3D9E" w14:textId="7246AE3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SOCIAL WORK</w:t>
            </w:r>
          </w:p>
        </w:tc>
      </w:tr>
      <w:tr w:rsidR="404419D2" w14:paraId="5922506A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F8995F" w14:textId="318A8D7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91D3E" w14:textId="3ECCBE4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LBST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5B184" w14:textId="712A0D69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LABOR STUDIES</w:t>
            </w:r>
          </w:p>
        </w:tc>
      </w:tr>
      <w:tr w:rsidR="404419D2" w14:paraId="4514D3BA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7E5B9" w14:textId="0632DF4C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FA16CD" w14:textId="20090FA5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CBUS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D0AE45" w14:textId="31BB7AC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BUSINESS</w:t>
            </w:r>
          </w:p>
        </w:tc>
      </w:tr>
      <w:tr w:rsidR="404419D2" w14:paraId="2483A672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2CE3A5" w14:textId="0F94748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71EF2" w14:textId="1544B8A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CDHS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4C7CC" w14:textId="088DF36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HEALTH SCIENCES</w:t>
            </w:r>
          </w:p>
        </w:tc>
      </w:tr>
      <w:tr w:rsidR="404419D2" w14:paraId="56D8486E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A69C4" w14:textId="4BEB17A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57D72" w14:textId="7D923307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CEDU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4E80D1" w14:textId="67969986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EDUCATION</w:t>
            </w:r>
          </w:p>
        </w:tc>
      </w:tr>
      <w:tr w:rsidR="404419D2" w14:paraId="7470B10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BDB14" w14:textId="01181111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A8F6DF" w14:textId="414DF50F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CLAR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00D719" w14:textId="4A317428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LIBERAL ARTS</w:t>
            </w:r>
          </w:p>
        </w:tc>
      </w:tr>
      <w:tr w:rsidR="404419D2" w14:paraId="75E45FAE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32C03" w14:textId="4499653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703DD" w14:textId="1CA37EC5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CMEG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1A9C7" w14:textId="74DD63E9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IUPUC MECHANICAL ENGINEERING</w:t>
            </w:r>
          </w:p>
        </w:tc>
      </w:tr>
      <w:tr w:rsidR="404419D2" w14:paraId="2ECF295F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98084" w14:textId="51EDCDDC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8D2A54" w14:textId="1F4923C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CNUR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657D95" w14:textId="11912066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NURSING</w:t>
            </w:r>
          </w:p>
        </w:tc>
      </w:tr>
      <w:tr w:rsidR="404419D2" w14:paraId="68EC3567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BB76C" w14:textId="2FE11197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B1AC5" w14:textId="4E0CC9D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CSCN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E95D3B" w14:textId="4806282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SCIENCE</w:t>
            </w:r>
          </w:p>
        </w:tc>
      </w:tr>
      <w:tr w:rsidR="404419D2" w14:paraId="4BC9DC1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D96A2" w14:textId="75302494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5A03C2" w14:textId="1468A21B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CUNC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86D193" w14:textId="6EE4179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IU COL UNIVERSITY COLLEGE</w:t>
            </w:r>
          </w:p>
        </w:tc>
      </w:tr>
      <w:tr w:rsidR="404419D2" w14:paraId="066B714B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16D835" w14:textId="47D02DC7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30DBF" w14:textId="10F4A2D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ARSC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E6034" w14:textId="6F3C7311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COLLEGE OF LIBERAL ARTS &amp; SCIENCES</w:t>
            </w:r>
          </w:p>
        </w:tc>
      </w:tr>
      <w:tr w:rsidR="404419D2" w14:paraId="64F98F52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C843CA" w14:textId="2D3D21C6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E8F4D" w14:textId="0C5C05A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BUS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A4E81" w14:textId="5C621DE9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BUSINESS AND ECONOMICS</w:t>
            </w:r>
          </w:p>
        </w:tc>
      </w:tr>
      <w:tr w:rsidR="404419D2" w14:paraId="0F2F81D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3DAFC5" w14:textId="097DBA1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107DC" w14:textId="05042A58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CHS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9E2592" w14:textId="5AAB2372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VERA Z. DYWER COLLEGE OF HEALTH SCIENCES</w:t>
            </w:r>
          </w:p>
        </w:tc>
      </w:tr>
      <w:tr w:rsidR="404419D2" w14:paraId="45A0B95D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6E693" w14:textId="29DEF861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9A307E" w14:textId="3B969F6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REGR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5B43A" w14:textId="1D852ACB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REGISTRAR</w:t>
            </w:r>
          </w:p>
        </w:tc>
      </w:tr>
      <w:tr w:rsidR="404419D2" w14:paraId="4EAD5208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6B1A7" w14:textId="283A4C1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E875C" w14:textId="5EF207F6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LBST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A9DE73" w14:textId="44E77BF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LABOR STUDIES</w:t>
            </w:r>
          </w:p>
        </w:tc>
      </w:tr>
      <w:tr w:rsidR="404419D2" w14:paraId="07A7991A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B46D6" w14:textId="6F7460B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C6CE0A" w14:textId="5DD63F3F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SOCW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90DE8D" w14:textId="1621213B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SOCIAL WORK</w:t>
            </w:r>
          </w:p>
        </w:tc>
      </w:tr>
      <w:tr w:rsidR="404419D2" w14:paraId="235941D5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6BD14E" w14:textId="7AC6096D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9D87A" w14:textId="48357E0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SART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56DFE" w14:textId="15B891F3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RACLIN SCHOOL OF THE ARTS</w:t>
            </w:r>
          </w:p>
        </w:tc>
      </w:tr>
      <w:tr w:rsidR="404419D2" w14:paraId="60471589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443E5" w14:textId="27981F6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3A519" w14:textId="588BA1F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SHSS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7C1B0" w14:textId="657E6A4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SCHOOL OF HUMANITIES &amp; SOCIAL SCIENCES</w:t>
            </w:r>
          </w:p>
        </w:tc>
      </w:tr>
      <w:tr w:rsidR="404419D2" w14:paraId="1803F4B7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F12F1F" w14:textId="2B46E4D0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86B2D8" w14:textId="2AA6EE0C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SNSC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7D220D" w14:textId="6EF5641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SCHOOL OF NATURAL SCIENCES</w:t>
            </w:r>
          </w:p>
        </w:tc>
      </w:tr>
      <w:tr w:rsidR="404419D2" w14:paraId="7D967B0B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C3B22" w14:textId="7033DE5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19113A" w14:textId="103DBD6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SBUS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D54D0" w14:textId="7584F769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JUDD LEIGHTON SCHOOL OF BUSINESS &amp; ECONO</w:t>
            </w:r>
          </w:p>
        </w:tc>
      </w:tr>
      <w:tr w:rsidR="404419D2" w14:paraId="53B26F6C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55F76C" w14:textId="70AC8F6A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AB5F1F" w14:textId="0DC73E28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SEDU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799A11" w14:textId="317C24C8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SCHOOL OF EDUCATION</w:t>
            </w:r>
          </w:p>
        </w:tc>
      </w:tr>
      <w:tr w:rsidR="404419D2" w14:paraId="42EFC2DA" w14:textId="77777777" w:rsidTr="179B222F">
        <w:trPr>
          <w:trHeight w:val="255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CF2F6" w14:textId="0DF5802E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1787E" w14:textId="4F72CC85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SHSC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335B1" w14:textId="427CD1B7" w:rsidR="404419D2" w:rsidRDefault="1B93B29A" w:rsidP="179B222F">
            <w:pPr>
              <w:spacing w:after="0"/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</w:pPr>
            <w:r w:rsidRPr="179B222F">
              <w:rPr>
                <w:rFonts w:ascii="BentonSans Regular" w:eastAsia="BentonSans Regular" w:hAnsi="BentonSans Regular" w:cs="BentonSans Regular"/>
                <w:color w:val="000000" w:themeColor="text1"/>
                <w:sz w:val="20"/>
                <w:szCs w:val="20"/>
              </w:rPr>
              <w:t>VERA Z. DWYER SCHOOL OF HEALTH SCIENCES</w:t>
            </w:r>
          </w:p>
        </w:tc>
      </w:tr>
    </w:tbl>
    <w:p w14:paraId="08C9FD78" w14:textId="52567E73" w:rsidR="404419D2" w:rsidRDefault="404419D2" w:rsidP="404419D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0353B660" w14:textId="67C98FD5" w:rsidR="404419D2" w:rsidRDefault="404419D2" w:rsidP="404419D2">
      <w:pPr>
        <w:pStyle w:val="NormalWeb"/>
        <w:spacing w:before="0" w:beforeAutospacing="0" w:after="0" w:afterAutospacing="0"/>
        <w:rPr>
          <w:rFonts w:ascii="BentonSans Regular" w:eastAsia="BentonSans Regular" w:hAnsi="BentonSans Regular" w:cs="BentonSans Regular"/>
          <w:color w:val="000000" w:themeColor="text1"/>
          <w:sz w:val="22"/>
          <w:szCs w:val="22"/>
        </w:rPr>
      </w:pPr>
    </w:p>
    <w:p w14:paraId="0B4BFBD9" w14:textId="60AC69EA" w:rsidR="00995435" w:rsidRDefault="00995435" w:rsidP="00726B34"/>
    <w:sectPr w:rsidR="00995435" w:rsidSect="000E471C">
      <w:headerReference w:type="default" r:id="rId17"/>
      <w:footerReference w:type="default" r:id="rId18"/>
      <w:pgSz w:w="12240" w:h="15840"/>
      <w:pgMar w:top="1152" w:right="1152" w:bottom="172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6D97" w14:textId="77777777" w:rsidR="00015389" w:rsidRDefault="00015389" w:rsidP="0027129F">
      <w:pPr>
        <w:spacing w:after="0" w:line="240" w:lineRule="auto"/>
      </w:pPr>
      <w:r>
        <w:separator/>
      </w:r>
    </w:p>
  </w:endnote>
  <w:endnote w:type="continuationSeparator" w:id="0">
    <w:p w14:paraId="20208578" w14:textId="77777777" w:rsidR="00015389" w:rsidRDefault="00015389" w:rsidP="0027129F">
      <w:pPr>
        <w:spacing w:after="0" w:line="240" w:lineRule="auto"/>
      </w:pPr>
      <w:r>
        <w:continuationSeparator/>
      </w:r>
    </w:p>
  </w:endnote>
  <w:endnote w:type="continuationNotice" w:id="1">
    <w:p w14:paraId="7A755DDF" w14:textId="77777777" w:rsidR="00015389" w:rsidRDefault="00015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ntonSans Black">
    <w:panose1 w:val="02000804030000020004"/>
    <w:charset w:val="00"/>
    <w:family w:val="auto"/>
    <w:pitch w:val="variable"/>
    <w:sig w:usb0="0000008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 Regular">
    <w:panose1 w:val="02000503000000020004"/>
    <w:charset w:val="00"/>
    <w:family w:val="modern"/>
    <w:notTrueType/>
    <w:pitch w:val="variable"/>
    <w:sig w:usb0="0000008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85DB" w14:textId="53C3BDF4" w:rsidR="00616D7F" w:rsidRPr="00945D82" w:rsidRDefault="67234D72">
    <w:pPr>
      <w:pStyle w:val="Footer"/>
    </w:pPr>
    <w:r>
      <w:rPr>
        <w:noProof/>
      </w:rPr>
      <w:drawing>
        <wp:inline distT="0" distB="0" distL="0" distR="0" wp14:anchorId="2F0B0485" wp14:editId="7CA16C31">
          <wp:extent cx="457200" cy="457200"/>
          <wp:effectExtent l="0" t="0" r="0" b="0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7234D72">
      <w:rPr>
        <w:b/>
        <w:bCs/>
        <w:sz w:val="20"/>
        <w:szCs w:val="20"/>
      </w:rPr>
      <w:t xml:space="preserve">  </w:t>
    </w:r>
    <w:r w:rsidRPr="67234D72">
      <w:rPr>
        <w:b/>
        <w:bCs/>
      </w:rPr>
      <w:t>Institutional Analytics - Compliance and Reporting</w:t>
    </w:r>
    <w:r w:rsidR="500E43AF">
      <w:tab/>
    </w:r>
    <w:r>
      <w:t xml:space="preserve">Last Update: 4/13/2026 - Page </w:t>
    </w:r>
    <w:r w:rsidR="500E43AF" w:rsidRPr="67234D72">
      <w:rPr>
        <w:noProof/>
      </w:rPr>
      <w:fldChar w:fldCharType="begin"/>
    </w:r>
    <w:r w:rsidR="500E43AF">
      <w:instrText xml:space="preserve"> PAGE   \* MERGEFORMAT </w:instrText>
    </w:r>
    <w:r w:rsidR="500E43AF" w:rsidRPr="67234D72">
      <w:fldChar w:fldCharType="separate"/>
    </w:r>
    <w:r w:rsidRPr="67234D72">
      <w:rPr>
        <w:noProof/>
      </w:rPr>
      <w:t>2</w:t>
    </w:r>
    <w:r w:rsidR="500E43AF" w:rsidRPr="67234D72">
      <w:rPr>
        <w:noProof/>
      </w:rPr>
      <w:fldChar w:fldCharType="end"/>
    </w:r>
    <w:r>
      <w:t xml:space="preserve"> of </w:t>
    </w:r>
    <w:r w:rsidR="500E43AF" w:rsidRPr="67234D72">
      <w:rPr>
        <w:noProof/>
      </w:rPr>
      <w:fldChar w:fldCharType="begin"/>
    </w:r>
    <w:r w:rsidR="500E43AF">
      <w:instrText>NUMPAGES   \* MERGEFORMAT</w:instrText>
    </w:r>
    <w:r w:rsidR="500E43AF" w:rsidRPr="67234D72">
      <w:fldChar w:fldCharType="separate"/>
    </w:r>
    <w:r w:rsidRPr="67234D72">
      <w:rPr>
        <w:noProof/>
      </w:rPr>
      <w:t>3</w:t>
    </w:r>
    <w:r w:rsidR="500E43AF" w:rsidRPr="67234D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2952" w14:textId="77777777" w:rsidR="00015389" w:rsidRDefault="00015389" w:rsidP="0027129F">
      <w:pPr>
        <w:spacing w:after="0" w:line="240" w:lineRule="auto"/>
      </w:pPr>
      <w:r>
        <w:separator/>
      </w:r>
    </w:p>
  </w:footnote>
  <w:footnote w:type="continuationSeparator" w:id="0">
    <w:p w14:paraId="1B1F3ED2" w14:textId="77777777" w:rsidR="00015389" w:rsidRDefault="00015389" w:rsidP="0027129F">
      <w:pPr>
        <w:spacing w:after="0" w:line="240" w:lineRule="auto"/>
      </w:pPr>
      <w:r>
        <w:continuationSeparator/>
      </w:r>
    </w:p>
  </w:footnote>
  <w:footnote w:type="continuationNotice" w:id="1">
    <w:p w14:paraId="292D03A0" w14:textId="77777777" w:rsidR="00015389" w:rsidRDefault="00015389">
      <w:pPr>
        <w:spacing w:after="0" w:line="240" w:lineRule="auto"/>
      </w:pPr>
    </w:p>
  </w:footnote>
  <w:footnote w:id="2">
    <w:p w14:paraId="614CBF8A" w14:textId="77777777" w:rsidR="00AB38FC" w:rsidRDefault="00AB38FC"/>
    <w:p w14:paraId="36AFBA6A" w14:textId="77777777" w:rsidR="00AB38FC" w:rsidRDefault="00AB38FC"/>
  </w:footnote>
  <w:footnote w:id="3">
    <w:p w14:paraId="66CB4914" w14:textId="48601D97" w:rsidR="43D59435" w:rsidRDefault="43D59435" w:rsidP="43D59435">
      <w:pPr>
        <w:pStyle w:val="FootnoteText"/>
      </w:pPr>
      <w:r w:rsidRPr="43D59435">
        <w:rPr>
          <w:rStyle w:val="FootnoteReference"/>
        </w:rPr>
        <w:footnoteRef/>
      </w:r>
      <w:r>
        <w:t xml:space="preserve"> Of note, direct admits can be included/excluded from reports and analysis using direct admit fields available (e.g., ACAD_PRM_PGM_ADMTD in </w:t>
      </w:r>
      <w:proofErr w:type="spellStart"/>
      <w:r>
        <w:t>dss_rds.ir_cen_trm_snpsht_st</w:t>
      </w:r>
      <w:proofErr w:type="spell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B87F" w14:textId="704AF42F" w:rsidR="00EF4B7A" w:rsidRDefault="00EF4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60E"/>
    <w:multiLevelType w:val="hybridMultilevel"/>
    <w:tmpl w:val="0E0C5C86"/>
    <w:lvl w:ilvl="0" w:tplc="E1D0A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D29"/>
    <w:multiLevelType w:val="hybridMultilevel"/>
    <w:tmpl w:val="74067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69FF"/>
    <w:multiLevelType w:val="hybridMultilevel"/>
    <w:tmpl w:val="48AE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A95"/>
    <w:multiLevelType w:val="hybridMultilevel"/>
    <w:tmpl w:val="0A9A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260E"/>
    <w:multiLevelType w:val="hybridMultilevel"/>
    <w:tmpl w:val="A6F0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357FB"/>
    <w:multiLevelType w:val="hybridMultilevel"/>
    <w:tmpl w:val="0C4ADE06"/>
    <w:lvl w:ilvl="0" w:tplc="E9668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25EE"/>
    <w:multiLevelType w:val="hybridMultilevel"/>
    <w:tmpl w:val="A4D4DC14"/>
    <w:lvl w:ilvl="0" w:tplc="CC2C619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554D"/>
    <w:multiLevelType w:val="hybridMultilevel"/>
    <w:tmpl w:val="47A8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B529A"/>
    <w:multiLevelType w:val="multilevel"/>
    <w:tmpl w:val="47E6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534CF"/>
    <w:multiLevelType w:val="hybridMultilevel"/>
    <w:tmpl w:val="5DECA7F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F362181"/>
    <w:multiLevelType w:val="hybridMultilevel"/>
    <w:tmpl w:val="1450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5ED8A"/>
    <w:multiLevelType w:val="hybridMultilevel"/>
    <w:tmpl w:val="93B4E4D2"/>
    <w:lvl w:ilvl="0" w:tplc="F2E627B6">
      <w:start w:val="1"/>
      <w:numFmt w:val="decimal"/>
      <w:lvlText w:val="%1."/>
      <w:lvlJc w:val="left"/>
      <w:pPr>
        <w:ind w:left="720" w:hanging="360"/>
      </w:pPr>
    </w:lvl>
    <w:lvl w:ilvl="1" w:tplc="F8D6CB32">
      <w:start w:val="1"/>
      <w:numFmt w:val="lowerLetter"/>
      <w:lvlText w:val="%2."/>
      <w:lvlJc w:val="left"/>
      <w:pPr>
        <w:ind w:left="1440" w:hanging="360"/>
      </w:pPr>
    </w:lvl>
    <w:lvl w:ilvl="2" w:tplc="E466C962">
      <w:start w:val="1"/>
      <w:numFmt w:val="lowerRoman"/>
      <w:lvlText w:val="%3."/>
      <w:lvlJc w:val="right"/>
      <w:pPr>
        <w:ind w:left="2160" w:hanging="180"/>
      </w:pPr>
    </w:lvl>
    <w:lvl w:ilvl="3" w:tplc="4F96AEEA">
      <w:start w:val="1"/>
      <w:numFmt w:val="decimal"/>
      <w:lvlText w:val="%4."/>
      <w:lvlJc w:val="left"/>
      <w:pPr>
        <w:ind w:left="2880" w:hanging="360"/>
      </w:pPr>
    </w:lvl>
    <w:lvl w:ilvl="4" w:tplc="D4A2C9AE">
      <w:start w:val="1"/>
      <w:numFmt w:val="lowerLetter"/>
      <w:lvlText w:val="%5."/>
      <w:lvlJc w:val="left"/>
      <w:pPr>
        <w:ind w:left="3600" w:hanging="360"/>
      </w:pPr>
    </w:lvl>
    <w:lvl w:ilvl="5" w:tplc="B9CEAC14">
      <w:start w:val="1"/>
      <w:numFmt w:val="lowerRoman"/>
      <w:lvlText w:val="%6."/>
      <w:lvlJc w:val="right"/>
      <w:pPr>
        <w:ind w:left="4320" w:hanging="180"/>
      </w:pPr>
    </w:lvl>
    <w:lvl w:ilvl="6" w:tplc="F9221D3A">
      <w:start w:val="1"/>
      <w:numFmt w:val="decimal"/>
      <w:lvlText w:val="%7."/>
      <w:lvlJc w:val="left"/>
      <w:pPr>
        <w:ind w:left="5040" w:hanging="360"/>
      </w:pPr>
    </w:lvl>
    <w:lvl w:ilvl="7" w:tplc="B166478A">
      <w:start w:val="1"/>
      <w:numFmt w:val="lowerLetter"/>
      <w:lvlText w:val="%8."/>
      <w:lvlJc w:val="left"/>
      <w:pPr>
        <w:ind w:left="5760" w:hanging="360"/>
      </w:pPr>
    </w:lvl>
    <w:lvl w:ilvl="8" w:tplc="D5C47A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0220C"/>
    <w:multiLevelType w:val="hybridMultilevel"/>
    <w:tmpl w:val="D0AE4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C5C44"/>
    <w:multiLevelType w:val="hybridMultilevel"/>
    <w:tmpl w:val="E34A4142"/>
    <w:lvl w:ilvl="0" w:tplc="78FA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707C"/>
    <w:multiLevelType w:val="hybridMultilevel"/>
    <w:tmpl w:val="2FC0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91883">
    <w:abstractNumId w:val="11"/>
  </w:num>
  <w:num w:numId="2" w16cid:durableId="14425683">
    <w:abstractNumId w:val="2"/>
  </w:num>
  <w:num w:numId="3" w16cid:durableId="1401825204">
    <w:abstractNumId w:val="7"/>
  </w:num>
  <w:num w:numId="4" w16cid:durableId="1293095747">
    <w:abstractNumId w:val="4"/>
  </w:num>
  <w:num w:numId="5" w16cid:durableId="1540555352">
    <w:abstractNumId w:val="8"/>
  </w:num>
  <w:num w:numId="6" w16cid:durableId="836190236">
    <w:abstractNumId w:val="14"/>
  </w:num>
  <w:num w:numId="7" w16cid:durableId="47611533">
    <w:abstractNumId w:val="3"/>
  </w:num>
  <w:num w:numId="8" w16cid:durableId="471170288">
    <w:abstractNumId w:val="9"/>
  </w:num>
  <w:num w:numId="9" w16cid:durableId="1237858494">
    <w:abstractNumId w:val="1"/>
  </w:num>
  <w:num w:numId="10" w16cid:durableId="1320038229">
    <w:abstractNumId w:val="0"/>
  </w:num>
  <w:num w:numId="11" w16cid:durableId="747772356">
    <w:abstractNumId w:val="6"/>
  </w:num>
  <w:num w:numId="12" w16cid:durableId="116877558">
    <w:abstractNumId w:val="13"/>
  </w:num>
  <w:num w:numId="13" w16cid:durableId="435443498">
    <w:abstractNumId w:val="5"/>
  </w:num>
  <w:num w:numId="14" w16cid:durableId="334190826">
    <w:abstractNumId w:val="12"/>
  </w:num>
  <w:num w:numId="15" w16cid:durableId="649208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AC"/>
    <w:rsid w:val="0001430F"/>
    <w:rsid w:val="00015389"/>
    <w:rsid w:val="0001627E"/>
    <w:rsid w:val="0002333A"/>
    <w:rsid w:val="00027B84"/>
    <w:rsid w:val="000409D7"/>
    <w:rsid w:val="000409F5"/>
    <w:rsid w:val="00040AF8"/>
    <w:rsid w:val="0004295D"/>
    <w:rsid w:val="00044F38"/>
    <w:rsid w:val="00052876"/>
    <w:rsid w:val="000571C4"/>
    <w:rsid w:val="0006047A"/>
    <w:rsid w:val="00062D87"/>
    <w:rsid w:val="00063EF0"/>
    <w:rsid w:val="00064C02"/>
    <w:rsid w:val="00066570"/>
    <w:rsid w:val="0007369C"/>
    <w:rsid w:val="0007523A"/>
    <w:rsid w:val="00080F4C"/>
    <w:rsid w:val="00082A8B"/>
    <w:rsid w:val="00087EE8"/>
    <w:rsid w:val="00093127"/>
    <w:rsid w:val="00097AE5"/>
    <w:rsid w:val="000A792D"/>
    <w:rsid w:val="000B3524"/>
    <w:rsid w:val="000C2218"/>
    <w:rsid w:val="000C6C8E"/>
    <w:rsid w:val="000D2333"/>
    <w:rsid w:val="000D4D12"/>
    <w:rsid w:val="000D4EF8"/>
    <w:rsid w:val="000D517E"/>
    <w:rsid w:val="000E166B"/>
    <w:rsid w:val="000E471C"/>
    <w:rsid w:val="000E5BA3"/>
    <w:rsid w:val="000F2AAB"/>
    <w:rsid w:val="00106B75"/>
    <w:rsid w:val="00113B1A"/>
    <w:rsid w:val="00120166"/>
    <w:rsid w:val="00122344"/>
    <w:rsid w:val="00124035"/>
    <w:rsid w:val="0012505B"/>
    <w:rsid w:val="00134C13"/>
    <w:rsid w:val="00137926"/>
    <w:rsid w:val="001412F4"/>
    <w:rsid w:val="00141543"/>
    <w:rsid w:val="00144E70"/>
    <w:rsid w:val="00147D12"/>
    <w:rsid w:val="001516C9"/>
    <w:rsid w:val="001576CD"/>
    <w:rsid w:val="00160D14"/>
    <w:rsid w:val="00173C9B"/>
    <w:rsid w:val="00180157"/>
    <w:rsid w:val="00180E9E"/>
    <w:rsid w:val="001825EB"/>
    <w:rsid w:val="00185655"/>
    <w:rsid w:val="0019059C"/>
    <w:rsid w:val="001A00EA"/>
    <w:rsid w:val="001A1501"/>
    <w:rsid w:val="001A39E2"/>
    <w:rsid w:val="001A5489"/>
    <w:rsid w:val="001B0438"/>
    <w:rsid w:val="001B0FA1"/>
    <w:rsid w:val="001B4289"/>
    <w:rsid w:val="001B509B"/>
    <w:rsid w:val="001B6250"/>
    <w:rsid w:val="001B742B"/>
    <w:rsid w:val="001C4196"/>
    <w:rsid w:val="001C6D4A"/>
    <w:rsid w:val="001D0ADF"/>
    <w:rsid w:val="001D12A4"/>
    <w:rsid w:val="001E23DC"/>
    <w:rsid w:val="001E2708"/>
    <w:rsid w:val="001E360B"/>
    <w:rsid w:val="001E49D0"/>
    <w:rsid w:val="001E51E1"/>
    <w:rsid w:val="001E5660"/>
    <w:rsid w:val="001E7394"/>
    <w:rsid w:val="001F7494"/>
    <w:rsid w:val="00203062"/>
    <w:rsid w:val="00211DC6"/>
    <w:rsid w:val="0021531B"/>
    <w:rsid w:val="00217A02"/>
    <w:rsid w:val="0022004E"/>
    <w:rsid w:val="00230E85"/>
    <w:rsid w:val="00237674"/>
    <w:rsid w:val="00246A5C"/>
    <w:rsid w:val="002518C2"/>
    <w:rsid w:val="00251EEF"/>
    <w:rsid w:val="002556C3"/>
    <w:rsid w:val="002615AC"/>
    <w:rsid w:val="00265ECB"/>
    <w:rsid w:val="0027129F"/>
    <w:rsid w:val="00274E02"/>
    <w:rsid w:val="002808E8"/>
    <w:rsid w:val="0028099E"/>
    <w:rsid w:val="0028260D"/>
    <w:rsid w:val="00287578"/>
    <w:rsid w:val="00291FC5"/>
    <w:rsid w:val="0029280B"/>
    <w:rsid w:val="002A2329"/>
    <w:rsid w:val="002A7CC8"/>
    <w:rsid w:val="002B1FC6"/>
    <w:rsid w:val="002B45CC"/>
    <w:rsid w:val="002B7C77"/>
    <w:rsid w:val="002C5A0C"/>
    <w:rsid w:val="002E14F6"/>
    <w:rsid w:val="002E2502"/>
    <w:rsid w:val="002E4D44"/>
    <w:rsid w:val="002E5F54"/>
    <w:rsid w:val="002E7D86"/>
    <w:rsid w:val="002F0451"/>
    <w:rsid w:val="002F330F"/>
    <w:rsid w:val="002F6501"/>
    <w:rsid w:val="00302307"/>
    <w:rsid w:val="00306FC4"/>
    <w:rsid w:val="003101B0"/>
    <w:rsid w:val="00313D13"/>
    <w:rsid w:val="00317E4C"/>
    <w:rsid w:val="003206F6"/>
    <w:rsid w:val="00322C28"/>
    <w:rsid w:val="003328B2"/>
    <w:rsid w:val="00334379"/>
    <w:rsid w:val="00336F1A"/>
    <w:rsid w:val="00340C8F"/>
    <w:rsid w:val="003425C3"/>
    <w:rsid w:val="00347465"/>
    <w:rsid w:val="00351CA4"/>
    <w:rsid w:val="00361577"/>
    <w:rsid w:val="0036395F"/>
    <w:rsid w:val="0036397E"/>
    <w:rsid w:val="003718EE"/>
    <w:rsid w:val="00376B46"/>
    <w:rsid w:val="00380F08"/>
    <w:rsid w:val="0038385F"/>
    <w:rsid w:val="003847BD"/>
    <w:rsid w:val="00392A71"/>
    <w:rsid w:val="003955B3"/>
    <w:rsid w:val="003A3766"/>
    <w:rsid w:val="003A3FDB"/>
    <w:rsid w:val="003A58F4"/>
    <w:rsid w:val="003A7DA2"/>
    <w:rsid w:val="003B0266"/>
    <w:rsid w:val="003B2AE4"/>
    <w:rsid w:val="003B440C"/>
    <w:rsid w:val="003B65F0"/>
    <w:rsid w:val="003C1163"/>
    <w:rsid w:val="003D2709"/>
    <w:rsid w:val="003D27FC"/>
    <w:rsid w:val="003D5502"/>
    <w:rsid w:val="003D79E5"/>
    <w:rsid w:val="003E068A"/>
    <w:rsid w:val="003E111A"/>
    <w:rsid w:val="003E1511"/>
    <w:rsid w:val="003E3141"/>
    <w:rsid w:val="0040466A"/>
    <w:rsid w:val="00404685"/>
    <w:rsid w:val="004104E9"/>
    <w:rsid w:val="00415421"/>
    <w:rsid w:val="004212D4"/>
    <w:rsid w:val="00421A01"/>
    <w:rsid w:val="0042400C"/>
    <w:rsid w:val="00424627"/>
    <w:rsid w:val="004272CF"/>
    <w:rsid w:val="0043343F"/>
    <w:rsid w:val="00435374"/>
    <w:rsid w:val="00436110"/>
    <w:rsid w:val="00437FD2"/>
    <w:rsid w:val="00441B47"/>
    <w:rsid w:val="004425D5"/>
    <w:rsid w:val="004449EE"/>
    <w:rsid w:val="00450CA8"/>
    <w:rsid w:val="004512D0"/>
    <w:rsid w:val="00452543"/>
    <w:rsid w:val="004527E2"/>
    <w:rsid w:val="004535BC"/>
    <w:rsid w:val="004550F2"/>
    <w:rsid w:val="00460345"/>
    <w:rsid w:val="00463235"/>
    <w:rsid w:val="004665DD"/>
    <w:rsid w:val="00467C93"/>
    <w:rsid w:val="00470A37"/>
    <w:rsid w:val="00471842"/>
    <w:rsid w:val="00476491"/>
    <w:rsid w:val="00476709"/>
    <w:rsid w:val="00476FF2"/>
    <w:rsid w:val="0047745E"/>
    <w:rsid w:val="0048008C"/>
    <w:rsid w:val="004806F2"/>
    <w:rsid w:val="00480B1A"/>
    <w:rsid w:val="004835C4"/>
    <w:rsid w:val="00484B32"/>
    <w:rsid w:val="0048590C"/>
    <w:rsid w:val="004900BB"/>
    <w:rsid w:val="00495F01"/>
    <w:rsid w:val="004A1B2D"/>
    <w:rsid w:val="004A348F"/>
    <w:rsid w:val="004A485E"/>
    <w:rsid w:val="004A4FBE"/>
    <w:rsid w:val="004A5B10"/>
    <w:rsid w:val="004B0381"/>
    <w:rsid w:val="004B55D1"/>
    <w:rsid w:val="004C36E7"/>
    <w:rsid w:val="004C42A2"/>
    <w:rsid w:val="004C65E3"/>
    <w:rsid w:val="004D5A5C"/>
    <w:rsid w:val="004D65E3"/>
    <w:rsid w:val="004D7286"/>
    <w:rsid w:val="004E2EA3"/>
    <w:rsid w:val="004E4A7B"/>
    <w:rsid w:val="004E5CE4"/>
    <w:rsid w:val="004F313B"/>
    <w:rsid w:val="00504083"/>
    <w:rsid w:val="005042D3"/>
    <w:rsid w:val="00507A5B"/>
    <w:rsid w:val="0051069C"/>
    <w:rsid w:val="00511A60"/>
    <w:rsid w:val="005129B6"/>
    <w:rsid w:val="00515BA6"/>
    <w:rsid w:val="00523836"/>
    <w:rsid w:val="00525CDE"/>
    <w:rsid w:val="00534A35"/>
    <w:rsid w:val="00536DF3"/>
    <w:rsid w:val="005375F3"/>
    <w:rsid w:val="00542136"/>
    <w:rsid w:val="00542521"/>
    <w:rsid w:val="00542BA5"/>
    <w:rsid w:val="00546257"/>
    <w:rsid w:val="005464B1"/>
    <w:rsid w:val="0055286D"/>
    <w:rsid w:val="00552C6D"/>
    <w:rsid w:val="00553147"/>
    <w:rsid w:val="00553F21"/>
    <w:rsid w:val="00555CE1"/>
    <w:rsid w:val="0055747E"/>
    <w:rsid w:val="005625F2"/>
    <w:rsid w:val="00563185"/>
    <w:rsid w:val="005713C8"/>
    <w:rsid w:val="00572309"/>
    <w:rsid w:val="00573383"/>
    <w:rsid w:val="0058477A"/>
    <w:rsid w:val="00590A08"/>
    <w:rsid w:val="00592E3D"/>
    <w:rsid w:val="00594D51"/>
    <w:rsid w:val="00594E74"/>
    <w:rsid w:val="00594F51"/>
    <w:rsid w:val="005A45AB"/>
    <w:rsid w:val="005A5D01"/>
    <w:rsid w:val="005A7F4B"/>
    <w:rsid w:val="005A7FC5"/>
    <w:rsid w:val="005B6A90"/>
    <w:rsid w:val="005C2BC8"/>
    <w:rsid w:val="005C7D5F"/>
    <w:rsid w:val="005D0DA7"/>
    <w:rsid w:val="005D0E2A"/>
    <w:rsid w:val="005D3403"/>
    <w:rsid w:val="005D39A2"/>
    <w:rsid w:val="005D58EA"/>
    <w:rsid w:val="005D5DEE"/>
    <w:rsid w:val="005D5F53"/>
    <w:rsid w:val="005D7807"/>
    <w:rsid w:val="005E2A31"/>
    <w:rsid w:val="005E662B"/>
    <w:rsid w:val="005F2DAB"/>
    <w:rsid w:val="005F7384"/>
    <w:rsid w:val="00600C89"/>
    <w:rsid w:val="00602689"/>
    <w:rsid w:val="006045A5"/>
    <w:rsid w:val="00616D7F"/>
    <w:rsid w:val="00617630"/>
    <w:rsid w:val="00621D44"/>
    <w:rsid w:val="0062210D"/>
    <w:rsid w:val="00624B8D"/>
    <w:rsid w:val="006258CB"/>
    <w:rsid w:val="00630450"/>
    <w:rsid w:val="00632E75"/>
    <w:rsid w:val="00633DED"/>
    <w:rsid w:val="00633F9C"/>
    <w:rsid w:val="00634F2E"/>
    <w:rsid w:val="00635AF5"/>
    <w:rsid w:val="00636E1F"/>
    <w:rsid w:val="00643616"/>
    <w:rsid w:val="006437D5"/>
    <w:rsid w:val="00643A65"/>
    <w:rsid w:val="00644482"/>
    <w:rsid w:val="00650FCD"/>
    <w:rsid w:val="00651107"/>
    <w:rsid w:val="006514CC"/>
    <w:rsid w:val="00651D05"/>
    <w:rsid w:val="00652FBF"/>
    <w:rsid w:val="00653F89"/>
    <w:rsid w:val="00657A88"/>
    <w:rsid w:val="006616BC"/>
    <w:rsid w:val="00663822"/>
    <w:rsid w:val="00667332"/>
    <w:rsid w:val="00667920"/>
    <w:rsid w:val="00670517"/>
    <w:rsid w:val="0067348A"/>
    <w:rsid w:val="00673949"/>
    <w:rsid w:val="00673E07"/>
    <w:rsid w:val="006747D8"/>
    <w:rsid w:val="00676C9A"/>
    <w:rsid w:val="00676DE6"/>
    <w:rsid w:val="00684956"/>
    <w:rsid w:val="00686B3B"/>
    <w:rsid w:val="00687ADE"/>
    <w:rsid w:val="0069249E"/>
    <w:rsid w:val="00693585"/>
    <w:rsid w:val="00697A6A"/>
    <w:rsid w:val="006A31AB"/>
    <w:rsid w:val="006A3D45"/>
    <w:rsid w:val="006A4B4F"/>
    <w:rsid w:val="006B4E8B"/>
    <w:rsid w:val="006B5E3A"/>
    <w:rsid w:val="006B6BB3"/>
    <w:rsid w:val="006B7837"/>
    <w:rsid w:val="006B7F88"/>
    <w:rsid w:val="006C37A1"/>
    <w:rsid w:val="006C4A6D"/>
    <w:rsid w:val="006C57BC"/>
    <w:rsid w:val="006D4D4C"/>
    <w:rsid w:val="006D62D2"/>
    <w:rsid w:val="006D683B"/>
    <w:rsid w:val="006E02FF"/>
    <w:rsid w:val="006E1B5A"/>
    <w:rsid w:val="006E33DB"/>
    <w:rsid w:val="006E60FF"/>
    <w:rsid w:val="006F1013"/>
    <w:rsid w:val="00700840"/>
    <w:rsid w:val="0070091B"/>
    <w:rsid w:val="00700B6A"/>
    <w:rsid w:val="00701A28"/>
    <w:rsid w:val="00704415"/>
    <w:rsid w:val="00710881"/>
    <w:rsid w:val="0071143B"/>
    <w:rsid w:val="00714B0B"/>
    <w:rsid w:val="00715DE1"/>
    <w:rsid w:val="00716E5F"/>
    <w:rsid w:val="00723C3E"/>
    <w:rsid w:val="00726B34"/>
    <w:rsid w:val="00740ECC"/>
    <w:rsid w:val="007410B1"/>
    <w:rsid w:val="00744202"/>
    <w:rsid w:val="00744D55"/>
    <w:rsid w:val="00745BC6"/>
    <w:rsid w:val="007569D3"/>
    <w:rsid w:val="0076498B"/>
    <w:rsid w:val="00767312"/>
    <w:rsid w:val="00772119"/>
    <w:rsid w:val="00781775"/>
    <w:rsid w:val="00795433"/>
    <w:rsid w:val="0079682E"/>
    <w:rsid w:val="00797A05"/>
    <w:rsid w:val="007A2B8F"/>
    <w:rsid w:val="007A3212"/>
    <w:rsid w:val="007A5C6C"/>
    <w:rsid w:val="007A5D13"/>
    <w:rsid w:val="007A7506"/>
    <w:rsid w:val="007C29E6"/>
    <w:rsid w:val="007C2E74"/>
    <w:rsid w:val="007C3732"/>
    <w:rsid w:val="007C53E9"/>
    <w:rsid w:val="007C6896"/>
    <w:rsid w:val="007D4391"/>
    <w:rsid w:val="007D514D"/>
    <w:rsid w:val="007D7B28"/>
    <w:rsid w:val="007E6524"/>
    <w:rsid w:val="007F18E9"/>
    <w:rsid w:val="007F5ACD"/>
    <w:rsid w:val="00801BB0"/>
    <w:rsid w:val="00803BC3"/>
    <w:rsid w:val="00817B9F"/>
    <w:rsid w:val="008229E1"/>
    <w:rsid w:val="00823449"/>
    <w:rsid w:val="0082783B"/>
    <w:rsid w:val="008316AA"/>
    <w:rsid w:val="00831746"/>
    <w:rsid w:val="00831F34"/>
    <w:rsid w:val="00832BB1"/>
    <w:rsid w:val="00840084"/>
    <w:rsid w:val="008408C4"/>
    <w:rsid w:val="00840D58"/>
    <w:rsid w:val="008479C3"/>
    <w:rsid w:val="00853288"/>
    <w:rsid w:val="00856615"/>
    <w:rsid w:val="00860E4D"/>
    <w:rsid w:val="00866AD4"/>
    <w:rsid w:val="00875731"/>
    <w:rsid w:val="008809EE"/>
    <w:rsid w:val="00882E43"/>
    <w:rsid w:val="00887066"/>
    <w:rsid w:val="0089193A"/>
    <w:rsid w:val="00897137"/>
    <w:rsid w:val="008971FD"/>
    <w:rsid w:val="0089739C"/>
    <w:rsid w:val="00897FF6"/>
    <w:rsid w:val="008A17C6"/>
    <w:rsid w:val="008A47F0"/>
    <w:rsid w:val="008A56D8"/>
    <w:rsid w:val="008A5AB9"/>
    <w:rsid w:val="008A6DFE"/>
    <w:rsid w:val="008B4E5F"/>
    <w:rsid w:val="008B69DC"/>
    <w:rsid w:val="008B7F74"/>
    <w:rsid w:val="008C5C54"/>
    <w:rsid w:val="008C71A0"/>
    <w:rsid w:val="008C73E5"/>
    <w:rsid w:val="008D0872"/>
    <w:rsid w:val="008D1B19"/>
    <w:rsid w:val="008D2497"/>
    <w:rsid w:val="008D472A"/>
    <w:rsid w:val="008D4DCE"/>
    <w:rsid w:val="008D68E1"/>
    <w:rsid w:val="008E241D"/>
    <w:rsid w:val="008E3022"/>
    <w:rsid w:val="008E6286"/>
    <w:rsid w:val="008F2166"/>
    <w:rsid w:val="008F2D2A"/>
    <w:rsid w:val="008F7F04"/>
    <w:rsid w:val="009020F4"/>
    <w:rsid w:val="009027D4"/>
    <w:rsid w:val="00906359"/>
    <w:rsid w:val="00910439"/>
    <w:rsid w:val="0091054A"/>
    <w:rsid w:val="009159C8"/>
    <w:rsid w:val="009164C4"/>
    <w:rsid w:val="0092101C"/>
    <w:rsid w:val="00926652"/>
    <w:rsid w:val="00927831"/>
    <w:rsid w:val="00927C2F"/>
    <w:rsid w:val="00932CDB"/>
    <w:rsid w:val="00933461"/>
    <w:rsid w:val="00943FA4"/>
    <w:rsid w:val="00945D82"/>
    <w:rsid w:val="009505D6"/>
    <w:rsid w:val="009533CF"/>
    <w:rsid w:val="00954539"/>
    <w:rsid w:val="009546CF"/>
    <w:rsid w:val="0095580D"/>
    <w:rsid w:val="009560C8"/>
    <w:rsid w:val="00957CEE"/>
    <w:rsid w:val="00962103"/>
    <w:rsid w:val="00963974"/>
    <w:rsid w:val="009659A9"/>
    <w:rsid w:val="0096622A"/>
    <w:rsid w:val="00966849"/>
    <w:rsid w:val="00970A02"/>
    <w:rsid w:val="00973294"/>
    <w:rsid w:val="009806D0"/>
    <w:rsid w:val="009844BB"/>
    <w:rsid w:val="00987693"/>
    <w:rsid w:val="0098799C"/>
    <w:rsid w:val="009925C2"/>
    <w:rsid w:val="009944C0"/>
    <w:rsid w:val="0099502C"/>
    <w:rsid w:val="00995435"/>
    <w:rsid w:val="00995BB2"/>
    <w:rsid w:val="009A14C0"/>
    <w:rsid w:val="009A45CE"/>
    <w:rsid w:val="009A4673"/>
    <w:rsid w:val="009A6A0A"/>
    <w:rsid w:val="009B72EE"/>
    <w:rsid w:val="009C0A8F"/>
    <w:rsid w:val="009C28DE"/>
    <w:rsid w:val="009C3897"/>
    <w:rsid w:val="009C4796"/>
    <w:rsid w:val="009C5C16"/>
    <w:rsid w:val="009C75B8"/>
    <w:rsid w:val="009E0901"/>
    <w:rsid w:val="009E50EA"/>
    <w:rsid w:val="009F4A33"/>
    <w:rsid w:val="009F5EF9"/>
    <w:rsid w:val="00A044D0"/>
    <w:rsid w:val="00A04622"/>
    <w:rsid w:val="00A06061"/>
    <w:rsid w:val="00A10860"/>
    <w:rsid w:val="00A11B67"/>
    <w:rsid w:val="00A1252D"/>
    <w:rsid w:val="00A1713D"/>
    <w:rsid w:val="00A200FD"/>
    <w:rsid w:val="00A26708"/>
    <w:rsid w:val="00A30FF6"/>
    <w:rsid w:val="00A346F0"/>
    <w:rsid w:val="00A36A3A"/>
    <w:rsid w:val="00A40116"/>
    <w:rsid w:val="00A42897"/>
    <w:rsid w:val="00A43335"/>
    <w:rsid w:val="00A43CE7"/>
    <w:rsid w:val="00A51176"/>
    <w:rsid w:val="00A52A0A"/>
    <w:rsid w:val="00A52C26"/>
    <w:rsid w:val="00A53C9B"/>
    <w:rsid w:val="00A736A3"/>
    <w:rsid w:val="00A7374E"/>
    <w:rsid w:val="00A74C20"/>
    <w:rsid w:val="00A7507C"/>
    <w:rsid w:val="00A83505"/>
    <w:rsid w:val="00A856B2"/>
    <w:rsid w:val="00A90CC7"/>
    <w:rsid w:val="00A91C0A"/>
    <w:rsid w:val="00A92E14"/>
    <w:rsid w:val="00A93D8F"/>
    <w:rsid w:val="00A946A3"/>
    <w:rsid w:val="00A959E5"/>
    <w:rsid w:val="00AA21AE"/>
    <w:rsid w:val="00AA2CFD"/>
    <w:rsid w:val="00AA35EC"/>
    <w:rsid w:val="00AA3EA8"/>
    <w:rsid w:val="00AA5DFF"/>
    <w:rsid w:val="00AA7F5E"/>
    <w:rsid w:val="00AB2D58"/>
    <w:rsid w:val="00AB38FC"/>
    <w:rsid w:val="00AB4BED"/>
    <w:rsid w:val="00AB4C36"/>
    <w:rsid w:val="00AB5253"/>
    <w:rsid w:val="00AC141C"/>
    <w:rsid w:val="00AD5E1F"/>
    <w:rsid w:val="00AE05C8"/>
    <w:rsid w:val="00AE1BC8"/>
    <w:rsid w:val="00AE5CA0"/>
    <w:rsid w:val="00AF14EA"/>
    <w:rsid w:val="00AF280B"/>
    <w:rsid w:val="00AF3DD1"/>
    <w:rsid w:val="00AF6600"/>
    <w:rsid w:val="00B01D77"/>
    <w:rsid w:val="00B05DF7"/>
    <w:rsid w:val="00B14AE9"/>
    <w:rsid w:val="00B14CE1"/>
    <w:rsid w:val="00B15EFB"/>
    <w:rsid w:val="00B16D96"/>
    <w:rsid w:val="00B20EDB"/>
    <w:rsid w:val="00B21AD3"/>
    <w:rsid w:val="00B25BEE"/>
    <w:rsid w:val="00B264BD"/>
    <w:rsid w:val="00B300FB"/>
    <w:rsid w:val="00B321FD"/>
    <w:rsid w:val="00B3256D"/>
    <w:rsid w:val="00B330ED"/>
    <w:rsid w:val="00B3581C"/>
    <w:rsid w:val="00B37010"/>
    <w:rsid w:val="00B4075A"/>
    <w:rsid w:val="00B47AAC"/>
    <w:rsid w:val="00B5565D"/>
    <w:rsid w:val="00B56204"/>
    <w:rsid w:val="00B57625"/>
    <w:rsid w:val="00B608E9"/>
    <w:rsid w:val="00B609F4"/>
    <w:rsid w:val="00B60DD4"/>
    <w:rsid w:val="00B616D2"/>
    <w:rsid w:val="00B61B1A"/>
    <w:rsid w:val="00B66688"/>
    <w:rsid w:val="00B70021"/>
    <w:rsid w:val="00B71823"/>
    <w:rsid w:val="00B7458D"/>
    <w:rsid w:val="00B7532F"/>
    <w:rsid w:val="00B80E4A"/>
    <w:rsid w:val="00B8157C"/>
    <w:rsid w:val="00B87630"/>
    <w:rsid w:val="00B93321"/>
    <w:rsid w:val="00B94149"/>
    <w:rsid w:val="00B96D50"/>
    <w:rsid w:val="00B973F6"/>
    <w:rsid w:val="00B97781"/>
    <w:rsid w:val="00BA3D92"/>
    <w:rsid w:val="00BA47CE"/>
    <w:rsid w:val="00BB2141"/>
    <w:rsid w:val="00BB2A36"/>
    <w:rsid w:val="00BC54C3"/>
    <w:rsid w:val="00BD040A"/>
    <w:rsid w:val="00BD1CC9"/>
    <w:rsid w:val="00BD20B1"/>
    <w:rsid w:val="00BD4E10"/>
    <w:rsid w:val="00BE0548"/>
    <w:rsid w:val="00BE4E5F"/>
    <w:rsid w:val="00BE7A79"/>
    <w:rsid w:val="00BE7EF9"/>
    <w:rsid w:val="00BF0F44"/>
    <w:rsid w:val="00BF16E8"/>
    <w:rsid w:val="00BF3D4C"/>
    <w:rsid w:val="00BF436B"/>
    <w:rsid w:val="00BF5F35"/>
    <w:rsid w:val="00BF6C97"/>
    <w:rsid w:val="00C06BDA"/>
    <w:rsid w:val="00C23B21"/>
    <w:rsid w:val="00C33978"/>
    <w:rsid w:val="00C4107E"/>
    <w:rsid w:val="00C41FB0"/>
    <w:rsid w:val="00C4210F"/>
    <w:rsid w:val="00C429DB"/>
    <w:rsid w:val="00C44185"/>
    <w:rsid w:val="00C45D67"/>
    <w:rsid w:val="00C46A94"/>
    <w:rsid w:val="00C54D76"/>
    <w:rsid w:val="00C574BB"/>
    <w:rsid w:val="00C61743"/>
    <w:rsid w:val="00C63440"/>
    <w:rsid w:val="00C666BA"/>
    <w:rsid w:val="00C67BBD"/>
    <w:rsid w:val="00C72130"/>
    <w:rsid w:val="00C8127B"/>
    <w:rsid w:val="00C87E55"/>
    <w:rsid w:val="00C96A7B"/>
    <w:rsid w:val="00C97BA0"/>
    <w:rsid w:val="00CA00E1"/>
    <w:rsid w:val="00CA5B2C"/>
    <w:rsid w:val="00CA79A0"/>
    <w:rsid w:val="00CA79A4"/>
    <w:rsid w:val="00CB1519"/>
    <w:rsid w:val="00CC01BB"/>
    <w:rsid w:val="00CC1C49"/>
    <w:rsid w:val="00CC51E5"/>
    <w:rsid w:val="00CC7B21"/>
    <w:rsid w:val="00CD0F50"/>
    <w:rsid w:val="00CD6615"/>
    <w:rsid w:val="00CE4423"/>
    <w:rsid w:val="00CE5F6F"/>
    <w:rsid w:val="00CF1421"/>
    <w:rsid w:val="00CF215D"/>
    <w:rsid w:val="00CF475F"/>
    <w:rsid w:val="00CF6A48"/>
    <w:rsid w:val="00D01A1E"/>
    <w:rsid w:val="00D064F8"/>
    <w:rsid w:val="00D07984"/>
    <w:rsid w:val="00D134E7"/>
    <w:rsid w:val="00D22939"/>
    <w:rsid w:val="00D22D89"/>
    <w:rsid w:val="00D23383"/>
    <w:rsid w:val="00D26A0E"/>
    <w:rsid w:val="00D27D36"/>
    <w:rsid w:val="00D40681"/>
    <w:rsid w:val="00D41529"/>
    <w:rsid w:val="00D44DAB"/>
    <w:rsid w:val="00D44F62"/>
    <w:rsid w:val="00D50A98"/>
    <w:rsid w:val="00D522E2"/>
    <w:rsid w:val="00D52D61"/>
    <w:rsid w:val="00D550E4"/>
    <w:rsid w:val="00D5780A"/>
    <w:rsid w:val="00D61F00"/>
    <w:rsid w:val="00D668E6"/>
    <w:rsid w:val="00D72257"/>
    <w:rsid w:val="00D745A1"/>
    <w:rsid w:val="00D775C9"/>
    <w:rsid w:val="00D8318C"/>
    <w:rsid w:val="00D92C27"/>
    <w:rsid w:val="00D95DAB"/>
    <w:rsid w:val="00D97651"/>
    <w:rsid w:val="00DA55D7"/>
    <w:rsid w:val="00DB0A9A"/>
    <w:rsid w:val="00DB10D8"/>
    <w:rsid w:val="00DB4863"/>
    <w:rsid w:val="00DC340C"/>
    <w:rsid w:val="00DC4AEE"/>
    <w:rsid w:val="00DC7C1E"/>
    <w:rsid w:val="00DD08BF"/>
    <w:rsid w:val="00DD08ED"/>
    <w:rsid w:val="00DD15E7"/>
    <w:rsid w:val="00DD6F1C"/>
    <w:rsid w:val="00DE0596"/>
    <w:rsid w:val="00DE0FBA"/>
    <w:rsid w:val="00DE117B"/>
    <w:rsid w:val="00DE17E3"/>
    <w:rsid w:val="00DE5533"/>
    <w:rsid w:val="00DF55DD"/>
    <w:rsid w:val="00DF6149"/>
    <w:rsid w:val="00E03D29"/>
    <w:rsid w:val="00E07D59"/>
    <w:rsid w:val="00E15144"/>
    <w:rsid w:val="00E15B60"/>
    <w:rsid w:val="00E16E81"/>
    <w:rsid w:val="00E2133E"/>
    <w:rsid w:val="00E21F01"/>
    <w:rsid w:val="00E23D83"/>
    <w:rsid w:val="00E24AA1"/>
    <w:rsid w:val="00E32DAF"/>
    <w:rsid w:val="00E35006"/>
    <w:rsid w:val="00E4237D"/>
    <w:rsid w:val="00E44A4B"/>
    <w:rsid w:val="00E46510"/>
    <w:rsid w:val="00E4795F"/>
    <w:rsid w:val="00E5015E"/>
    <w:rsid w:val="00E56927"/>
    <w:rsid w:val="00E60AAC"/>
    <w:rsid w:val="00E631AD"/>
    <w:rsid w:val="00E653DD"/>
    <w:rsid w:val="00E71949"/>
    <w:rsid w:val="00E73F08"/>
    <w:rsid w:val="00E76EBD"/>
    <w:rsid w:val="00E8175C"/>
    <w:rsid w:val="00E83FBD"/>
    <w:rsid w:val="00E88592"/>
    <w:rsid w:val="00E9145F"/>
    <w:rsid w:val="00E917ED"/>
    <w:rsid w:val="00E9597F"/>
    <w:rsid w:val="00E978DA"/>
    <w:rsid w:val="00EA1DDB"/>
    <w:rsid w:val="00EA25FC"/>
    <w:rsid w:val="00EA580F"/>
    <w:rsid w:val="00EA5B18"/>
    <w:rsid w:val="00EA5D0E"/>
    <w:rsid w:val="00EA6BAE"/>
    <w:rsid w:val="00EA6E67"/>
    <w:rsid w:val="00EB0D0A"/>
    <w:rsid w:val="00EB0E0E"/>
    <w:rsid w:val="00EB393B"/>
    <w:rsid w:val="00EB396E"/>
    <w:rsid w:val="00EB53A4"/>
    <w:rsid w:val="00EC285A"/>
    <w:rsid w:val="00EC4A9A"/>
    <w:rsid w:val="00ED4FEF"/>
    <w:rsid w:val="00ED5CB3"/>
    <w:rsid w:val="00EE6E88"/>
    <w:rsid w:val="00EF1CA3"/>
    <w:rsid w:val="00EF46C6"/>
    <w:rsid w:val="00EF4B7A"/>
    <w:rsid w:val="00EF613F"/>
    <w:rsid w:val="00F035FD"/>
    <w:rsid w:val="00F04840"/>
    <w:rsid w:val="00F04A5B"/>
    <w:rsid w:val="00F05917"/>
    <w:rsid w:val="00F05CB3"/>
    <w:rsid w:val="00F13075"/>
    <w:rsid w:val="00F14861"/>
    <w:rsid w:val="00F17C2C"/>
    <w:rsid w:val="00F20130"/>
    <w:rsid w:val="00F25C06"/>
    <w:rsid w:val="00F278FF"/>
    <w:rsid w:val="00F30CDC"/>
    <w:rsid w:val="00F351E2"/>
    <w:rsid w:val="00F4218B"/>
    <w:rsid w:val="00F50E1B"/>
    <w:rsid w:val="00F52924"/>
    <w:rsid w:val="00F54E81"/>
    <w:rsid w:val="00F575CA"/>
    <w:rsid w:val="00F77E67"/>
    <w:rsid w:val="00F83A15"/>
    <w:rsid w:val="00F92910"/>
    <w:rsid w:val="00F95C0D"/>
    <w:rsid w:val="00F96FC3"/>
    <w:rsid w:val="00FA56F8"/>
    <w:rsid w:val="00FA6AD7"/>
    <w:rsid w:val="00FB059A"/>
    <w:rsid w:val="00FB2CE4"/>
    <w:rsid w:val="00FB3A39"/>
    <w:rsid w:val="00FB3D03"/>
    <w:rsid w:val="00FB4127"/>
    <w:rsid w:val="00FC460B"/>
    <w:rsid w:val="00FE2DA9"/>
    <w:rsid w:val="00FE52D4"/>
    <w:rsid w:val="00FF5F8F"/>
    <w:rsid w:val="00FF633D"/>
    <w:rsid w:val="00FF6F64"/>
    <w:rsid w:val="00FF7BF0"/>
    <w:rsid w:val="015F8476"/>
    <w:rsid w:val="020AC71E"/>
    <w:rsid w:val="027D402D"/>
    <w:rsid w:val="02AEBC7B"/>
    <w:rsid w:val="02C16102"/>
    <w:rsid w:val="02C31D2C"/>
    <w:rsid w:val="02DF30E2"/>
    <w:rsid w:val="031AAE42"/>
    <w:rsid w:val="035084BC"/>
    <w:rsid w:val="03A4ACE7"/>
    <w:rsid w:val="03A8E175"/>
    <w:rsid w:val="03D6CE91"/>
    <w:rsid w:val="03FB6F4E"/>
    <w:rsid w:val="04646AE4"/>
    <w:rsid w:val="04891E3E"/>
    <w:rsid w:val="04C1DE07"/>
    <w:rsid w:val="050D3E55"/>
    <w:rsid w:val="058917C6"/>
    <w:rsid w:val="05DD1D8C"/>
    <w:rsid w:val="062F7C20"/>
    <w:rsid w:val="06309A5A"/>
    <w:rsid w:val="06888D4F"/>
    <w:rsid w:val="06904980"/>
    <w:rsid w:val="0735E4B7"/>
    <w:rsid w:val="07748041"/>
    <w:rsid w:val="07A1FCC4"/>
    <w:rsid w:val="082D77EE"/>
    <w:rsid w:val="0857EB43"/>
    <w:rsid w:val="0880238A"/>
    <w:rsid w:val="08F970C9"/>
    <w:rsid w:val="09094CC6"/>
    <w:rsid w:val="090C01E9"/>
    <w:rsid w:val="0923EAFB"/>
    <w:rsid w:val="09C37640"/>
    <w:rsid w:val="09DC4693"/>
    <w:rsid w:val="09DE9D7D"/>
    <w:rsid w:val="09F58FD6"/>
    <w:rsid w:val="0A1C1292"/>
    <w:rsid w:val="0A9DEA8C"/>
    <w:rsid w:val="0AF5035E"/>
    <w:rsid w:val="0B2A69D1"/>
    <w:rsid w:val="0B650C2E"/>
    <w:rsid w:val="0C1BBCB0"/>
    <w:rsid w:val="0C7BC991"/>
    <w:rsid w:val="0DA1A323"/>
    <w:rsid w:val="0DDB937C"/>
    <w:rsid w:val="0E2DFA22"/>
    <w:rsid w:val="0E587428"/>
    <w:rsid w:val="0EE35EF4"/>
    <w:rsid w:val="0F547030"/>
    <w:rsid w:val="0F936BBF"/>
    <w:rsid w:val="0F9EAEA8"/>
    <w:rsid w:val="1081AD0C"/>
    <w:rsid w:val="11171EAB"/>
    <w:rsid w:val="11674B62"/>
    <w:rsid w:val="1167C843"/>
    <w:rsid w:val="118FE5A3"/>
    <w:rsid w:val="11D7EF28"/>
    <w:rsid w:val="11F2C7FB"/>
    <w:rsid w:val="1245C9E6"/>
    <w:rsid w:val="12C522BA"/>
    <w:rsid w:val="12C5BD09"/>
    <w:rsid w:val="12CCC851"/>
    <w:rsid w:val="12CF4D31"/>
    <w:rsid w:val="1326E2D3"/>
    <w:rsid w:val="13390D5C"/>
    <w:rsid w:val="138A5572"/>
    <w:rsid w:val="14111533"/>
    <w:rsid w:val="1432D9C6"/>
    <w:rsid w:val="1448C297"/>
    <w:rsid w:val="14499BD2"/>
    <w:rsid w:val="1456C6EE"/>
    <w:rsid w:val="15683D6D"/>
    <w:rsid w:val="15C10601"/>
    <w:rsid w:val="15C6C006"/>
    <w:rsid w:val="166B5B6E"/>
    <w:rsid w:val="16995C2B"/>
    <w:rsid w:val="16A35AFC"/>
    <w:rsid w:val="1706161F"/>
    <w:rsid w:val="171F15BE"/>
    <w:rsid w:val="177CCBBF"/>
    <w:rsid w:val="179B222F"/>
    <w:rsid w:val="17ADB326"/>
    <w:rsid w:val="17F62BE4"/>
    <w:rsid w:val="186FDF1E"/>
    <w:rsid w:val="18BB3476"/>
    <w:rsid w:val="18C6C4B4"/>
    <w:rsid w:val="19968431"/>
    <w:rsid w:val="19A6D620"/>
    <w:rsid w:val="19EB150A"/>
    <w:rsid w:val="1A47B302"/>
    <w:rsid w:val="1AF20847"/>
    <w:rsid w:val="1B174CFC"/>
    <w:rsid w:val="1B291FAE"/>
    <w:rsid w:val="1B6D14E4"/>
    <w:rsid w:val="1B93B29A"/>
    <w:rsid w:val="1BB74F82"/>
    <w:rsid w:val="1BDA1768"/>
    <w:rsid w:val="1BEE3C4F"/>
    <w:rsid w:val="1BF09FC2"/>
    <w:rsid w:val="1C04B5B1"/>
    <w:rsid w:val="1C254D2F"/>
    <w:rsid w:val="1C525B6E"/>
    <w:rsid w:val="1D2563BD"/>
    <w:rsid w:val="1D874D53"/>
    <w:rsid w:val="1DA71A07"/>
    <w:rsid w:val="1DA84FD3"/>
    <w:rsid w:val="1DCEE90E"/>
    <w:rsid w:val="1DD36C90"/>
    <w:rsid w:val="1E7DF654"/>
    <w:rsid w:val="1E7E952D"/>
    <w:rsid w:val="1E878F8E"/>
    <w:rsid w:val="1E9E430D"/>
    <w:rsid w:val="1EDA0B44"/>
    <w:rsid w:val="1EE24E60"/>
    <w:rsid w:val="1F35059B"/>
    <w:rsid w:val="1FC934FD"/>
    <w:rsid w:val="201A6E27"/>
    <w:rsid w:val="20A950C2"/>
    <w:rsid w:val="211A7C92"/>
    <w:rsid w:val="2164A680"/>
    <w:rsid w:val="2182C54C"/>
    <w:rsid w:val="21DEF364"/>
    <w:rsid w:val="21E89CC2"/>
    <w:rsid w:val="2226ACF9"/>
    <w:rsid w:val="2230F7AA"/>
    <w:rsid w:val="223A5585"/>
    <w:rsid w:val="22596699"/>
    <w:rsid w:val="22602848"/>
    <w:rsid w:val="22689285"/>
    <w:rsid w:val="2282150D"/>
    <w:rsid w:val="229465B5"/>
    <w:rsid w:val="2414FA24"/>
    <w:rsid w:val="247ADE53"/>
    <w:rsid w:val="24931247"/>
    <w:rsid w:val="25B5F353"/>
    <w:rsid w:val="25DA9F6B"/>
    <w:rsid w:val="26202FFE"/>
    <w:rsid w:val="263633D0"/>
    <w:rsid w:val="268918FF"/>
    <w:rsid w:val="2709E540"/>
    <w:rsid w:val="27693B0B"/>
    <w:rsid w:val="27915B9C"/>
    <w:rsid w:val="27A4EA72"/>
    <w:rsid w:val="27C1C228"/>
    <w:rsid w:val="286B17A6"/>
    <w:rsid w:val="286BE670"/>
    <w:rsid w:val="2892B256"/>
    <w:rsid w:val="294722BD"/>
    <w:rsid w:val="294FD61D"/>
    <w:rsid w:val="297E96DE"/>
    <w:rsid w:val="29CA0FFA"/>
    <w:rsid w:val="29E47B38"/>
    <w:rsid w:val="2A265E7D"/>
    <w:rsid w:val="2B26C8B0"/>
    <w:rsid w:val="2C03CF8E"/>
    <w:rsid w:val="2C46C2D3"/>
    <w:rsid w:val="2C4B5271"/>
    <w:rsid w:val="2C5592AD"/>
    <w:rsid w:val="2C903DBD"/>
    <w:rsid w:val="2D3D1483"/>
    <w:rsid w:val="2D4327A6"/>
    <w:rsid w:val="2D45BC30"/>
    <w:rsid w:val="2D69EDC6"/>
    <w:rsid w:val="2D95444C"/>
    <w:rsid w:val="2DBCE3F5"/>
    <w:rsid w:val="2E11A7A1"/>
    <w:rsid w:val="2E8229AA"/>
    <w:rsid w:val="2EE24D6B"/>
    <w:rsid w:val="2EE9DE31"/>
    <w:rsid w:val="2F2A5065"/>
    <w:rsid w:val="2F3E2EAC"/>
    <w:rsid w:val="2F418BD4"/>
    <w:rsid w:val="2FC49095"/>
    <w:rsid w:val="2FE2F7DF"/>
    <w:rsid w:val="30974D86"/>
    <w:rsid w:val="30C114DB"/>
    <w:rsid w:val="31242FA2"/>
    <w:rsid w:val="3161CBD1"/>
    <w:rsid w:val="3189FE2D"/>
    <w:rsid w:val="319D0F36"/>
    <w:rsid w:val="31D66FD9"/>
    <w:rsid w:val="3214D28E"/>
    <w:rsid w:val="3225EEA8"/>
    <w:rsid w:val="32BD666D"/>
    <w:rsid w:val="331757C2"/>
    <w:rsid w:val="3326F3CB"/>
    <w:rsid w:val="332A6DD0"/>
    <w:rsid w:val="332B3CB5"/>
    <w:rsid w:val="334128BD"/>
    <w:rsid w:val="3371A54B"/>
    <w:rsid w:val="33CE6F63"/>
    <w:rsid w:val="33D8FA3A"/>
    <w:rsid w:val="34874FA4"/>
    <w:rsid w:val="350D64BF"/>
    <w:rsid w:val="3644D6F6"/>
    <w:rsid w:val="365951F4"/>
    <w:rsid w:val="36615BCE"/>
    <w:rsid w:val="366C94CE"/>
    <w:rsid w:val="367BC1AB"/>
    <w:rsid w:val="36A4F20E"/>
    <w:rsid w:val="36E15599"/>
    <w:rsid w:val="37038E20"/>
    <w:rsid w:val="375B36D4"/>
    <w:rsid w:val="3769F0B9"/>
    <w:rsid w:val="37E8F98B"/>
    <w:rsid w:val="3821C2E2"/>
    <w:rsid w:val="3870F0DF"/>
    <w:rsid w:val="38922790"/>
    <w:rsid w:val="395D3ED5"/>
    <w:rsid w:val="3991AEE2"/>
    <w:rsid w:val="3A9CB13C"/>
    <w:rsid w:val="3A9D4DE3"/>
    <w:rsid w:val="3AE20BFA"/>
    <w:rsid w:val="3B4C959B"/>
    <w:rsid w:val="3B5060CC"/>
    <w:rsid w:val="3B5AD024"/>
    <w:rsid w:val="3BA0784D"/>
    <w:rsid w:val="3C42A159"/>
    <w:rsid w:val="3D43BB50"/>
    <w:rsid w:val="3DB8B46E"/>
    <w:rsid w:val="3DD633CC"/>
    <w:rsid w:val="3DF513DD"/>
    <w:rsid w:val="3E4B981D"/>
    <w:rsid w:val="3EE20E51"/>
    <w:rsid w:val="3F0B11AB"/>
    <w:rsid w:val="3F81F2D7"/>
    <w:rsid w:val="401586BF"/>
    <w:rsid w:val="404419D2"/>
    <w:rsid w:val="40E440D0"/>
    <w:rsid w:val="40F86EBF"/>
    <w:rsid w:val="4190EE25"/>
    <w:rsid w:val="42A0D2AC"/>
    <w:rsid w:val="43A6B785"/>
    <w:rsid w:val="43D59435"/>
    <w:rsid w:val="43EB4103"/>
    <w:rsid w:val="440D2227"/>
    <w:rsid w:val="441E1682"/>
    <w:rsid w:val="443C80F7"/>
    <w:rsid w:val="44C81488"/>
    <w:rsid w:val="451AA04C"/>
    <w:rsid w:val="453D91FF"/>
    <w:rsid w:val="45415A39"/>
    <w:rsid w:val="46411309"/>
    <w:rsid w:val="4657807C"/>
    <w:rsid w:val="4681AABB"/>
    <w:rsid w:val="46D0F658"/>
    <w:rsid w:val="46D2FE78"/>
    <w:rsid w:val="46F9C585"/>
    <w:rsid w:val="475E58C4"/>
    <w:rsid w:val="4775E555"/>
    <w:rsid w:val="477DFC05"/>
    <w:rsid w:val="47D7F5E3"/>
    <w:rsid w:val="480D5497"/>
    <w:rsid w:val="482EFC11"/>
    <w:rsid w:val="48388ABD"/>
    <w:rsid w:val="486F7DCA"/>
    <w:rsid w:val="48887073"/>
    <w:rsid w:val="48A6CF5D"/>
    <w:rsid w:val="493D0E9E"/>
    <w:rsid w:val="494046C4"/>
    <w:rsid w:val="499464C7"/>
    <w:rsid w:val="4A068713"/>
    <w:rsid w:val="4AA33103"/>
    <w:rsid w:val="4AF22384"/>
    <w:rsid w:val="4B1B0AEF"/>
    <w:rsid w:val="4B225116"/>
    <w:rsid w:val="4B34C1D2"/>
    <w:rsid w:val="4B6DE586"/>
    <w:rsid w:val="4BCFEF35"/>
    <w:rsid w:val="4C1A8AAF"/>
    <w:rsid w:val="4C201B71"/>
    <w:rsid w:val="4C536B98"/>
    <w:rsid w:val="4CBCDCBE"/>
    <w:rsid w:val="4CE872E4"/>
    <w:rsid w:val="4D4BCA82"/>
    <w:rsid w:val="4D8FF355"/>
    <w:rsid w:val="4DC0C603"/>
    <w:rsid w:val="4DC45780"/>
    <w:rsid w:val="4E2C6889"/>
    <w:rsid w:val="4E6F7DE6"/>
    <w:rsid w:val="4ED91BD9"/>
    <w:rsid w:val="4F63C916"/>
    <w:rsid w:val="4F81F132"/>
    <w:rsid w:val="4F836F13"/>
    <w:rsid w:val="4FD06431"/>
    <w:rsid w:val="500E43AF"/>
    <w:rsid w:val="5026EBAD"/>
    <w:rsid w:val="50629B59"/>
    <w:rsid w:val="50C33B81"/>
    <w:rsid w:val="50DAF261"/>
    <w:rsid w:val="5110150B"/>
    <w:rsid w:val="5153A436"/>
    <w:rsid w:val="518C2A7F"/>
    <w:rsid w:val="52AC05C1"/>
    <w:rsid w:val="53ADA753"/>
    <w:rsid w:val="53B0973D"/>
    <w:rsid w:val="54AAF585"/>
    <w:rsid w:val="54C415B4"/>
    <w:rsid w:val="54D4746F"/>
    <w:rsid w:val="54D66AAF"/>
    <w:rsid w:val="54E2AEA3"/>
    <w:rsid w:val="551832E7"/>
    <w:rsid w:val="55CFA9EA"/>
    <w:rsid w:val="55E03136"/>
    <w:rsid w:val="55ED812C"/>
    <w:rsid w:val="561FBFDF"/>
    <w:rsid w:val="562DB127"/>
    <w:rsid w:val="566938B0"/>
    <w:rsid w:val="56EFD7ED"/>
    <w:rsid w:val="57225A52"/>
    <w:rsid w:val="572D3139"/>
    <w:rsid w:val="573C74DB"/>
    <w:rsid w:val="573D8E93"/>
    <w:rsid w:val="574B8563"/>
    <w:rsid w:val="5769DBB4"/>
    <w:rsid w:val="5774BF66"/>
    <w:rsid w:val="5780167F"/>
    <w:rsid w:val="57F96BC4"/>
    <w:rsid w:val="5814AC9F"/>
    <w:rsid w:val="58C89F62"/>
    <w:rsid w:val="58F5EC80"/>
    <w:rsid w:val="5942AB48"/>
    <w:rsid w:val="599A4E72"/>
    <w:rsid w:val="59BE4940"/>
    <w:rsid w:val="59C14768"/>
    <w:rsid w:val="5A16ED24"/>
    <w:rsid w:val="5A422AAE"/>
    <w:rsid w:val="5A806C73"/>
    <w:rsid w:val="5B14F1FB"/>
    <w:rsid w:val="5C02FD71"/>
    <w:rsid w:val="5C0F9FFA"/>
    <w:rsid w:val="5C2A7B79"/>
    <w:rsid w:val="5C34DB06"/>
    <w:rsid w:val="5CE6DDD4"/>
    <w:rsid w:val="5D13232F"/>
    <w:rsid w:val="5D2F6C9E"/>
    <w:rsid w:val="5DEAD556"/>
    <w:rsid w:val="5E180407"/>
    <w:rsid w:val="5E18B2B6"/>
    <w:rsid w:val="5E558FB4"/>
    <w:rsid w:val="5E6C2561"/>
    <w:rsid w:val="5E7DF648"/>
    <w:rsid w:val="5EB0536F"/>
    <w:rsid w:val="5FA8B1CC"/>
    <w:rsid w:val="6020FC91"/>
    <w:rsid w:val="6027A417"/>
    <w:rsid w:val="6136CF50"/>
    <w:rsid w:val="616EE090"/>
    <w:rsid w:val="618BFD4E"/>
    <w:rsid w:val="61B3BD10"/>
    <w:rsid w:val="61B5E0AA"/>
    <w:rsid w:val="61DA7173"/>
    <w:rsid w:val="621A76E1"/>
    <w:rsid w:val="62FD0FCC"/>
    <w:rsid w:val="634EA959"/>
    <w:rsid w:val="634FA1BF"/>
    <w:rsid w:val="63E6018D"/>
    <w:rsid w:val="640B8D1C"/>
    <w:rsid w:val="641F571E"/>
    <w:rsid w:val="648E7D61"/>
    <w:rsid w:val="64ED46EA"/>
    <w:rsid w:val="650A5B5A"/>
    <w:rsid w:val="652E93BC"/>
    <w:rsid w:val="653F6512"/>
    <w:rsid w:val="6598E19B"/>
    <w:rsid w:val="65B780B2"/>
    <w:rsid w:val="65BCD041"/>
    <w:rsid w:val="6600B2D9"/>
    <w:rsid w:val="662AF7BD"/>
    <w:rsid w:val="66310380"/>
    <w:rsid w:val="6655E444"/>
    <w:rsid w:val="66B3F231"/>
    <w:rsid w:val="66BECEAE"/>
    <w:rsid w:val="66C43B2A"/>
    <w:rsid w:val="67139A97"/>
    <w:rsid w:val="67234D72"/>
    <w:rsid w:val="67294795"/>
    <w:rsid w:val="6734B317"/>
    <w:rsid w:val="674F40E2"/>
    <w:rsid w:val="67DABABA"/>
    <w:rsid w:val="6817F331"/>
    <w:rsid w:val="6843D98D"/>
    <w:rsid w:val="68A02208"/>
    <w:rsid w:val="68EFB5E2"/>
    <w:rsid w:val="69087CED"/>
    <w:rsid w:val="6923FCA5"/>
    <w:rsid w:val="6948CF03"/>
    <w:rsid w:val="6953F325"/>
    <w:rsid w:val="69ECBD45"/>
    <w:rsid w:val="6A022598"/>
    <w:rsid w:val="6A29C462"/>
    <w:rsid w:val="6A3BB31F"/>
    <w:rsid w:val="6A87D737"/>
    <w:rsid w:val="6B34F040"/>
    <w:rsid w:val="6B3D5679"/>
    <w:rsid w:val="6B4783CA"/>
    <w:rsid w:val="6B6132E1"/>
    <w:rsid w:val="6B70D4A3"/>
    <w:rsid w:val="6B91D94E"/>
    <w:rsid w:val="6B9FEB0E"/>
    <w:rsid w:val="6C2BD775"/>
    <w:rsid w:val="6C813218"/>
    <w:rsid w:val="6C956AA4"/>
    <w:rsid w:val="6CE57472"/>
    <w:rsid w:val="6D9415D9"/>
    <w:rsid w:val="6DC6426E"/>
    <w:rsid w:val="6DD10018"/>
    <w:rsid w:val="6DD20FBB"/>
    <w:rsid w:val="6E484496"/>
    <w:rsid w:val="6E81A0F5"/>
    <w:rsid w:val="6EA918B3"/>
    <w:rsid w:val="6EB566CF"/>
    <w:rsid w:val="6F249EFC"/>
    <w:rsid w:val="6FA9E705"/>
    <w:rsid w:val="6FD33C9F"/>
    <w:rsid w:val="6FDB2D8E"/>
    <w:rsid w:val="704DB895"/>
    <w:rsid w:val="7054CBDB"/>
    <w:rsid w:val="709FF433"/>
    <w:rsid w:val="71258786"/>
    <w:rsid w:val="71BE8871"/>
    <w:rsid w:val="71D40FE4"/>
    <w:rsid w:val="71FCDAB3"/>
    <w:rsid w:val="7202BC14"/>
    <w:rsid w:val="72537287"/>
    <w:rsid w:val="7279C0DA"/>
    <w:rsid w:val="729A24F0"/>
    <w:rsid w:val="72D1F72A"/>
    <w:rsid w:val="731064AB"/>
    <w:rsid w:val="733DAD6D"/>
    <w:rsid w:val="73678CE7"/>
    <w:rsid w:val="73730DF8"/>
    <w:rsid w:val="73AB8C4C"/>
    <w:rsid w:val="73ABC2C4"/>
    <w:rsid w:val="73EEB499"/>
    <w:rsid w:val="7474EFE8"/>
    <w:rsid w:val="749FC7D0"/>
    <w:rsid w:val="752AF4CC"/>
    <w:rsid w:val="755D06A6"/>
    <w:rsid w:val="7582F05A"/>
    <w:rsid w:val="7591BC6F"/>
    <w:rsid w:val="760BFF8E"/>
    <w:rsid w:val="761A0A88"/>
    <w:rsid w:val="76652C5F"/>
    <w:rsid w:val="766BB3B4"/>
    <w:rsid w:val="76887762"/>
    <w:rsid w:val="768F2E96"/>
    <w:rsid w:val="76CAF9AD"/>
    <w:rsid w:val="76F46B72"/>
    <w:rsid w:val="77345E3C"/>
    <w:rsid w:val="777AE1C5"/>
    <w:rsid w:val="7794E833"/>
    <w:rsid w:val="77CB31A3"/>
    <w:rsid w:val="77E4983B"/>
    <w:rsid w:val="77EC0619"/>
    <w:rsid w:val="780670CC"/>
    <w:rsid w:val="780F187E"/>
    <w:rsid w:val="7817A8AA"/>
    <w:rsid w:val="781BF0E5"/>
    <w:rsid w:val="78566A2A"/>
    <w:rsid w:val="785999E0"/>
    <w:rsid w:val="787AFEE2"/>
    <w:rsid w:val="7882A331"/>
    <w:rsid w:val="789CF123"/>
    <w:rsid w:val="78B24B28"/>
    <w:rsid w:val="7939F061"/>
    <w:rsid w:val="796FD834"/>
    <w:rsid w:val="79A38982"/>
    <w:rsid w:val="7A05E4CF"/>
    <w:rsid w:val="7A260FFE"/>
    <w:rsid w:val="7A721482"/>
    <w:rsid w:val="7A97C620"/>
    <w:rsid w:val="7AE828DD"/>
    <w:rsid w:val="7B028ADA"/>
    <w:rsid w:val="7B237FA3"/>
    <w:rsid w:val="7B50310A"/>
    <w:rsid w:val="7BA901DD"/>
    <w:rsid w:val="7BD39FB1"/>
    <w:rsid w:val="7BDF289F"/>
    <w:rsid w:val="7C2F5096"/>
    <w:rsid w:val="7D2FA7DA"/>
    <w:rsid w:val="7D4DC3D7"/>
    <w:rsid w:val="7D78609E"/>
    <w:rsid w:val="7E06E218"/>
    <w:rsid w:val="7E6A7579"/>
    <w:rsid w:val="7F2B2AF7"/>
    <w:rsid w:val="7F56BEAB"/>
    <w:rsid w:val="7FA413B2"/>
    <w:rsid w:val="7FD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FE02"/>
  <w15:chartTrackingRefBased/>
  <w15:docId w15:val="{65A75F9C-D5CB-4A80-9110-66ACC7B0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05"/>
  </w:style>
  <w:style w:type="paragraph" w:styleId="Heading1">
    <w:name w:val="heading 1"/>
    <w:basedOn w:val="Normal"/>
    <w:next w:val="Normal"/>
    <w:link w:val="Heading1Char"/>
    <w:uiPriority w:val="9"/>
    <w:qFormat/>
    <w:rsid w:val="00271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A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7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6B7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2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2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2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29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01A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7F"/>
  </w:style>
  <w:style w:type="paragraph" w:styleId="Footer">
    <w:name w:val="footer"/>
    <w:basedOn w:val="Normal"/>
    <w:link w:val="FooterChar"/>
    <w:uiPriority w:val="99"/>
    <w:unhideWhenUsed/>
    <w:rsid w:val="00616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7F"/>
  </w:style>
  <w:style w:type="paragraph" w:styleId="ListParagraph">
    <w:name w:val="List Paragraph"/>
    <w:basedOn w:val="Normal"/>
    <w:uiPriority w:val="34"/>
    <w:qFormat/>
    <w:rsid w:val="00652FBF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25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4806F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5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5435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523836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313D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u.pressbooks.pub/chartofaccountsandgeneralledger/chapter/standards-3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ableau.bi.iu.ed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C9473668DCC48BC0A1B41B04FC57E" ma:contentTypeVersion="11" ma:contentTypeDescription="Create a new document." ma:contentTypeScope="" ma:versionID="bfaf72ac0bb5f1ed08ba071244f12204">
  <xsd:schema xmlns:xsd="http://www.w3.org/2001/XMLSchema" xmlns:xs="http://www.w3.org/2001/XMLSchema" xmlns:p="http://schemas.microsoft.com/office/2006/metadata/properties" xmlns:ns2="927f9d14-5e29-4cff-8a53-8ade44b0cee5" xmlns:ns3="138ff3aa-dacf-48f8-984c-c52c1af14fc1" targetNamespace="http://schemas.microsoft.com/office/2006/metadata/properties" ma:root="true" ma:fieldsID="104ec2680e9b3dec9542cb7939b1c8db" ns2:_="" ns3:_="">
    <xsd:import namespace="927f9d14-5e29-4cff-8a53-8ade44b0cee5"/>
    <xsd:import namespace="138ff3aa-dacf-48f8-984c-c52c1af14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f9d14-5e29-4cff-8a53-8ade44b0c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f3aa-dacf-48f8-984c-c52c1af14f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02b091-0f20-4c9d-9d8c-b2475d679d89}" ma:internalName="TaxCatchAll" ma:showField="CatchAllData" ma:web="138ff3aa-dacf-48f8-984c-c52c1af14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f9d14-5e29-4cff-8a53-8ade44b0cee5">
      <Terms xmlns="http://schemas.microsoft.com/office/infopath/2007/PartnerControls"/>
    </lcf76f155ced4ddcb4097134ff3c332f>
    <TaxCatchAll xmlns="138ff3aa-dacf-48f8-984c-c52c1af14f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2779A-32D4-4C16-BC2A-888CDE952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f9d14-5e29-4cff-8a53-8ade44b0cee5"/>
    <ds:schemaRef ds:uri="138ff3aa-dacf-48f8-984c-c52c1af14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230D-7A1E-47CF-8686-8EAA8D7BE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1BAC8-09AA-4019-95A5-526F316937A5}">
  <ds:schemaRefs>
    <ds:schemaRef ds:uri="http://schemas.microsoft.com/office/2006/metadata/properties"/>
    <ds:schemaRef ds:uri="http://schemas.microsoft.com/office/infopath/2007/PartnerControls"/>
    <ds:schemaRef ds:uri="927f9d14-5e29-4cff-8a53-8ade44b0cee5"/>
    <ds:schemaRef ds:uri="138ff3aa-dacf-48f8-984c-c52c1af14fc1"/>
  </ds:schemaRefs>
</ds:datastoreItem>
</file>

<file path=customXml/itemProps4.xml><?xml version="1.0" encoding="utf-8"?>
<ds:datastoreItem xmlns:ds="http://schemas.openxmlformats.org/officeDocument/2006/customXml" ds:itemID="{54DDC6AA-8DD4-4FA5-ADB2-5721721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9286</Characters>
  <Application>Microsoft Office Word</Application>
  <DocSecurity>0</DocSecurity>
  <Lines>77</Lines>
  <Paragraphs>21</Paragraphs>
  <ScaleCrop>false</ScaleCrop>
  <Company>Indiana University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Tittelbaugh, Greg</dc:creator>
  <cp:keywords/>
  <dc:description/>
  <cp:lastModifiedBy>Deom, Gina M</cp:lastModifiedBy>
  <cp:revision>2</cp:revision>
  <dcterms:created xsi:type="dcterms:W3CDTF">2026-04-13T15:18:00Z</dcterms:created>
  <dcterms:modified xsi:type="dcterms:W3CDTF">2026-04-13T15:18:00Z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4b3c7e-3bfa-45f1-b28d-09d7fca8a9b7_Enabled">
    <vt:lpwstr>true</vt:lpwstr>
  </property>
  <property fmtid="{D5CDD505-2E9C-101B-9397-08002B2CF9AE}" pid="3" name="MSIP_Label_414b3c7e-3bfa-45f1-b28d-09d7fca8a9b7_SetDate">
    <vt:lpwstr>2025-07-30T00:27:34Z</vt:lpwstr>
  </property>
  <property fmtid="{D5CDD505-2E9C-101B-9397-08002B2CF9AE}" pid="4" name="MSIP_Label_414b3c7e-3bfa-45f1-b28d-09d7fca8a9b7_Method">
    <vt:lpwstr>Standard</vt:lpwstr>
  </property>
  <property fmtid="{D5CDD505-2E9C-101B-9397-08002B2CF9AE}" pid="5" name="MSIP_Label_414b3c7e-3bfa-45f1-b28d-09d7fca8a9b7_Name">
    <vt:lpwstr>University Internal</vt:lpwstr>
  </property>
  <property fmtid="{D5CDD505-2E9C-101B-9397-08002B2CF9AE}" pid="6" name="MSIP_Label_414b3c7e-3bfa-45f1-b28d-09d7fca8a9b7_SiteId">
    <vt:lpwstr>1113be34-aed1-4d00-ab4b-cdd02510be91</vt:lpwstr>
  </property>
  <property fmtid="{D5CDD505-2E9C-101B-9397-08002B2CF9AE}" pid="7" name="MSIP_Label_414b3c7e-3bfa-45f1-b28d-09d7fca8a9b7_ActionId">
    <vt:lpwstr>a2b20cad-274d-4292-a768-46c2f72b420d</vt:lpwstr>
  </property>
  <property fmtid="{D5CDD505-2E9C-101B-9397-08002B2CF9AE}" pid="8" name="MSIP_Label_414b3c7e-3bfa-45f1-b28d-09d7fca8a9b7_ContentBits">
    <vt:lpwstr>0</vt:lpwstr>
  </property>
  <property fmtid="{D5CDD505-2E9C-101B-9397-08002B2CF9AE}" pid="9" name="MSIP_Label_414b3c7e-3bfa-45f1-b28d-09d7fca8a9b7_Tag">
    <vt:lpwstr>10, 3, 0, 2</vt:lpwstr>
  </property>
  <property fmtid="{D5CDD505-2E9C-101B-9397-08002B2CF9AE}" pid="10" name="ContentTypeId">
    <vt:lpwstr>0x010100F1DC9473668DCC48BC0A1B41B04FC57E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